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r>
    </w:p>
    <w:p>
      <w:pPr>
        <w:pStyle w:val="Normal"/>
        <w:jc w:val="both"/>
        <w:rPr>
          <w:sz w:val="32"/>
          <w:szCs w:val="32"/>
        </w:rPr>
      </w:pPr>
      <w:r>
        <w:rPr>
          <w:sz w:val="32"/>
          <w:szCs w:val="32"/>
        </w:rPr>
      </w:r>
    </w:p>
    <w:p>
      <w:pPr>
        <w:pStyle w:val="Normal"/>
        <w:jc w:val="center"/>
        <w:rPr/>
      </w:pPr>
      <w:r>
        <w:rPr>
          <w:i/>
          <w:iCs/>
          <w:sz w:val="32"/>
          <w:szCs w:val="32"/>
        </w:rPr>
        <w:t>CURRICULUM VITAE DR.SSA Erika Roat</w:t>
      </w:r>
    </w:p>
    <w:p>
      <w:pPr>
        <w:pStyle w:val="Normal"/>
        <w:jc w:val="both"/>
        <w:rPr/>
      </w:pPr>
      <w:r>
        <w:rPr/>
      </w:r>
    </w:p>
    <w:p>
      <w:pPr>
        <w:pStyle w:val="Normal"/>
        <w:jc w:val="both"/>
        <w:rPr>
          <w:rStyle w:val="CollegamentoInternet"/>
          <w:b/>
          <w:b/>
          <w:bCs/>
        </w:rPr>
      </w:pPr>
      <w:r>
        <w:rPr/>
      </w:r>
    </w:p>
    <w:p>
      <w:pPr>
        <w:pStyle w:val="Normal"/>
        <w:jc w:val="both"/>
        <w:rPr/>
      </w:pPr>
      <w:r>
        <w:rPr/>
      </w:r>
    </w:p>
    <w:p>
      <w:pPr>
        <w:pStyle w:val="Normal"/>
        <w:jc w:val="both"/>
        <w:rPr/>
      </w:pPr>
      <w:r>
        <w:rPr>
          <w:b/>
          <w:bCs/>
          <w:u w:val="single"/>
        </w:rPr>
        <w:t>Istruzione :</w:t>
      </w:r>
    </w:p>
    <w:p>
      <w:pPr>
        <w:pStyle w:val="Normal"/>
        <w:numPr>
          <w:ilvl w:val="0"/>
          <w:numId w:val="1"/>
        </w:numPr>
        <w:jc w:val="both"/>
        <w:rPr/>
      </w:pPr>
      <w:r>
        <w:rPr/>
        <w:t>23/07/2003 laurea in biotecnologie mediche presso l’Università di Modena e Reggio Emilia con il punteggio di 110/110 e lode</w:t>
      </w:r>
    </w:p>
    <w:p>
      <w:pPr>
        <w:pStyle w:val="Normal"/>
        <w:numPr>
          <w:ilvl w:val="0"/>
          <w:numId w:val="1"/>
        </w:numPr>
        <w:jc w:val="both"/>
        <w:rPr/>
      </w:pPr>
      <w:r>
        <w:rPr/>
        <w:t>23/02/2007 dottorato di ricerca in sostanze naturali biologicamente attive presso l’Università di Modena e Reggio Emilia</w:t>
      </w:r>
    </w:p>
    <w:p>
      <w:pPr>
        <w:pStyle w:val="Normal"/>
        <w:numPr>
          <w:ilvl w:val="0"/>
          <w:numId w:val="1"/>
        </w:numPr>
        <w:jc w:val="both"/>
        <w:rPr/>
      </w:pPr>
      <w:r>
        <w:rPr/>
        <w:t>04/10/2016 laurea in Medicina e Chirurgia presso l’Università di Modena e Reggio Emilia con il punteggio di 110/110 e lode</w:t>
      </w:r>
    </w:p>
    <w:p>
      <w:pPr>
        <w:pStyle w:val="Normal"/>
        <w:jc w:val="both"/>
        <w:rPr/>
      </w:pPr>
      <w:r>
        <w:rPr/>
      </w:r>
    </w:p>
    <w:p>
      <w:pPr>
        <w:pStyle w:val="Normal"/>
        <w:jc w:val="both"/>
        <w:rPr/>
      </w:pPr>
      <w:r>
        <w:rPr/>
      </w:r>
    </w:p>
    <w:p>
      <w:pPr>
        <w:pStyle w:val="Normal"/>
        <w:jc w:val="both"/>
        <w:rPr/>
      </w:pPr>
      <w:r>
        <w:rPr>
          <w:b/>
          <w:bCs/>
          <w:u w:val="single"/>
        </w:rPr>
        <w:t>Attività professionale:</w:t>
      </w:r>
    </w:p>
    <w:p>
      <w:pPr>
        <w:pStyle w:val="Normal"/>
        <w:jc w:val="both"/>
        <w:rPr>
          <w:b/>
          <w:b/>
          <w:bCs/>
          <w:u w:val="single"/>
        </w:rPr>
      </w:pPr>
      <w:r>
        <w:rPr>
          <w:b/>
          <w:bCs/>
          <w:u w:val="single"/>
        </w:rPr>
      </w:r>
    </w:p>
    <w:p>
      <w:pPr>
        <w:pStyle w:val="ListParagraph"/>
        <w:numPr>
          <w:ilvl w:val="0"/>
          <w:numId w:val="2"/>
        </w:numPr>
        <w:jc w:val="both"/>
        <w:rPr/>
      </w:pPr>
      <w:r>
        <w:rPr>
          <w:bCs/>
        </w:rPr>
        <w:t xml:space="preserve">01/05/2008-31/10/2009 assegnista di ricerca presso Università di </w:t>
      </w:r>
      <w:r>
        <w:rPr/>
        <w:t>Modena e Reggio Emilia</w:t>
      </w:r>
    </w:p>
    <w:p>
      <w:pPr>
        <w:pStyle w:val="Normal"/>
        <w:jc w:val="both"/>
        <w:rPr>
          <w:b/>
          <w:b/>
          <w:bCs/>
          <w:u w:val="single"/>
        </w:rPr>
      </w:pPr>
      <w:r>
        <w:rPr>
          <w:b/>
          <w:bCs/>
          <w:u w:val="single"/>
        </w:rPr>
      </w:r>
    </w:p>
    <w:p>
      <w:pPr>
        <w:pStyle w:val="Normal"/>
        <w:jc w:val="both"/>
        <w:rPr/>
      </w:pPr>
      <w:r>
        <w:rPr/>
      </w:r>
    </w:p>
    <w:p>
      <w:pPr>
        <w:pStyle w:val="Normal"/>
        <w:jc w:val="both"/>
        <w:rPr>
          <w:b/>
          <w:b/>
          <w:bCs/>
          <w:u w:val="single"/>
        </w:rPr>
      </w:pPr>
      <w:r>
        <w:rPr>
          <w:b/>
          <w:bCs/>
          <w:u w:val="single"/>
        </w:rPr>
      </w:r>
    </w:p>
    <w:p>
      <w:pPr>
        <w:pStyle w:val="Normal"/>
        <w:jc w:val="both"/>
        <w:rPr/>
      </w:pPr>
      <w:r>
        <w:rPr>
          <w:b/>
          <w:bCs/>
          <w:u w:val="single"/>
        </w:rPr>
        <w:t>Corsi e congressi:</w:t>
      </w:r>
    </w:p>
    <w:p>
      <w:pPr>
        <w:pStyle w:val="Normal"/>
        <w:jc w:val="both"/>
        <w:rPr>
          <w:b/>
          <w:b/>
          <w:bCs/>
          <w:u w:val="single"/>
        </w:rPr>
      </w:pPr>
      <w:r>
        <w:rPr>
          <w:b/>
          <w:bCs/>
          <w:u w:val="single"/>
        </w:rPr>
      </w:r>
    </w:p>
    <w:p>
      <w:pPr>
        <w:pStyle w:val="Normal"/>
        <w:numPr>
          <w:ilvl w:val="0"/>
          <w:numId w:val="1"/>
        </w:numPr>
        <w:pBdr/>
        <w:jc w:val="both"/>
        <w:rPr/>
        <w:framePr w:w="9499" w:h="2022" w:x="0" w:y="6" w:wrap="auto" w:vAnchor="text" w:hAnchor="text" w:hRule="exact"/>
      </w:pPr>
      <w:r>
        <w:rPr/>
        <w:t>14-12-2016 Cure palliative: non solo dolore</w:t>
      </w:r>
    </w:p>
    <w:p>
      <w:pPr>
        <w:pStyle w:val="Normal"/>
        <w:numPr>
          <w:ilvl w:val="0"/>
          <w:numId w:val="1"/>
        </w:numPr>
        <w:pBdr/>
        <w:jc w:val="both"/>
        <w:rPr/>
        <w:framePr w:w="9499" w:h="2022" w:x="0" w:y="6" w:wrap="auto" w:vAnchor="text" w:hAnchor="text" w:hRule="exact"/>
      </w:pPr>
      <w:r>
        <w:rPr/>
        <w:t>19-05-2017 Gestione del paziente con insufficienza respiratoria: ventilazione meccanica e oltre</w:t>
      </w:r>
    </w:p>
    <w:p>
      <w:pPr>
        <w:pStyle w:val="Normal"/>
        <w:numPr>
          <w:ilvl w:val="0"/>
          <w:numId w:val="1"/>
        </w:numPr>
        <w:pBdr/>
        <w:jc w:val="both"/>
        <w:rPr/>
        <w:framePr w:w="9499" w:h="2022" w:x="0" w:y="6" w:wrap="auto" w:vAnchor="text" w:hAnchor="text" w:hRule="exact"/>
      </w:pPr>
      <w:r>
        <w:rPr/>
        <w:t>20-05-2017 Anestesia e terapia intensiva nella terra dei motori</w:t>
      </w:r>
    </w:p>
    <w:p>
      <w:pPr>
        <w:pStyle w:val="Normal"/>
        <w:numPr>
          <w:ilvl w:val="0"/>
          <w:numId w:val="1"/>
        </w:numPr>
        <w:pBdr/>
        <w:jc w:val="both"/>
        <w:rPr/>
        <w:framePr w:w="9499" w:h="2022" w:x="0" w:y="6" w:wrap="auto" w:vAnchor="text" w:hAnchor="text" w:hRule="exact"/>
      </w:pPr>
      <w:r>
        <w:rPr/>
        <w:t>19-06-2017 Utilizzo e sviluppi futuri dell’attività elettrica del diaframma</w:t>
      </w:r>
    </w:p>
    <w:p>
      <w:pPr>
        <w:pStyle w:val="Normal"/>
        <w:numPr>
          <w:ilvl w:val="0"/>
          <w:numId w:val="1"/>
        </w:numPr>
        <w:pBdr/>
        <w:jc w:val="both"/>
        <w:rPr/>
        <w:framePr w:w="9499" w:h="2022" w:x="0" w:y="6" w:wrap="auto" w:vAnchor="text" w:hAnchor="text" w:hRule="exact"/>
      </w:pPr>
      <w:r>
        <w:rPr/>
        <w:t>22-06-2017 Shock settico e blood purification terapie il ruolo di emoperfusione con polimixina B</w:t>
      </w:r>
    </w:p>
    <w:p>
      <w:pPr>
        <w:pStyle w:val="Normal"/>
        <w:jc w:val="both"/>
        <w:rPr/>
      </w:pPr>
      <w:r>
        <w:rPr/>
      </w:r>
    </w:p>
    <w:p>
      <w:pPr>
        <w:pStyle w:val="Normal"/>
        <w:jc w:val="both"/>
        <w:rPr/>
      </w:pPr>
      <w:r>
        <w:rPr>
          <w:b/>
          <w:bCs/>
          <w:u w:val="single"/>
        </w:rPr>
        <w:t>Pubblicazioni:</w:t>
      </w:r>
    </w:p>
    <w:p>
      <w:pPr>
        <w:pStyle w:val="Normal"/>
        <w:jc w:val="both"/>
        <w:rPr>
          <w:b/>
          <w:b/>
          <w:bCs/>
          <w:u w:val="single"/>
        </w:rPr>
      </w:pPr>
      <w:r>
        <w:rPr>
          <w:b/>
          <w:bCs/>
          <w:u w:val="single"/>
        </w:rPr>
      </w:r>
    </w:p>
    <w:p>
      <w:pPr>
        <w:pStyle w:val="Normal"/>
        <w:numPr>
          <w:ilvl w:val="0"/>
          <w:numId w:val="3"/>
        </w:numPr>
        <w:jc w:val="both"/>
        <w:rPr/>
      </w:pPr>
      <w:r>
        <w:rPr/>
        <w:t xml:space="preserve">Cosenza M, Civallero M, Grisendi G, Marcheselli L, Roat E, Bari A, Sacchi S.  </w:t>
      </w:r>
      <w:hyperlink r:id="rId2">
        <w:r>
          <w:rPr>
            <w:rStyle w:val="CollegamentoInternet"/>
          </w:rPr>
          <w:t>Combination of low doses of enzastaurin and lenalidomide has synergistic activity in B-non-Hodgkin lymphoma cell lines.</w:t>
        </w:r>
      </w:hyperlink>
      <w:r>
        <w:rPr/>
        <w:t xml:space="preserve">  Ann Hematol. 2012 Oct;91(10):1613-22.</w:t>
      </w:r>
    </w:p>
    <w:p>
      <w:pPr>
        <w:pStyle w:val="Normal"/>
        <w:ind w:left="720" w:hanging="0"/>
        <w:jc w:val="both"/>
        <w:rPr/>
      </w:pPr>
      <w:r>
        <w:rPr/>
      </w:r>
    </w:p>
    <w:p>
      <w:pPr>
        <w:pStyle w:val="Normal"/>
        <w:numPr>
          <w:ilvl w:val="0"/>
          <w:numId w:val="3"/>
        </w:numPr>
        <w:jc w:val="both"/>
        <w:rPr/>
      </w:pPr>
      <w:r>
        <w:rPr/>
        <w:t xml:space="preserve">Roat E, De Biasi S, Bertoncelli L, Rompianesi G, Nasi M, Gibellini L, Pinti M, Del Giovane C, Zanella A, Di Benedetto F, Gerunda GE, Cossarizza A.  </w:t>
      </w:r>
      <w:hyperlink r:id="rId3">
        <w:r>
          <w:rPr>
            <w:rStyle w:val="CollegamentoInternet"/>
          </w:rPr>
          <w:t>Immunological advantages of everolimus versus cyclosporin A in liver-transplanted recipients, as revealed by polychromatic flow cytometry.</w:t>
        </w:r>
      </w:hyperlink>
      <w:r>
        <w:rPr/>
        <w:t xml:space="preserve">  Cytometry A. 2012 Apr;81(4):303-11. </w:t>
      </w:r>
    </w:p>
    <w:p>
      <w:pPr>
        <w:pStyle w:val="Normal"/>
        <w:ind w:left="720" w:hanging="0"/>
        <w:jc w:val="both"/>
        <w:rPr/>
      </w:pPr>
      <w:r>
        <w:rPr/>
      </w:r>
    </w:p>
    <w:p>
      <w:pPr>
        <w:pStyle w:val="Normal"/>
        <w:numPr>
          <w:ilvl w:val="0"/>
          <w:numId w:val="3"/>
        </w:numPr>
        <w:jc w:val="both"/>
        <w:rPr/>
      </w:pPr>
      <w:r>
        <w:rPr/>
        <w:t xml:space="preserve">Gibellini L, Pinti M, Nasi M, Montagna JP, De Biasi S, Roat E, Bertoncelli L, Cooper EL, Cossarizza A.  </w:t>
      </w:r>
      <w:hyperlink r:id="rId4">
        <w:r>
          <w:rPr>
            <w:rStyle w:val="CollegamentoInternet"/>
          </w:rPr>
          <w:t>Quercetin and cancer chemoprevention.</w:t>
        </w:r>
      </w:hyperlink>
      <w:r>
        <w:rPr/>
        <w:t xml:space="preserve">  Evid Based Complement Alternat Med. 2011;2011:591356.</w:t>
      </w:r>
    </w:p>
    <w:p>
      <w:pPr>
        <w:pStyle w:val="Normal"/>
        <w:ind w:left="720" w:hanging="0"/>
        <w:jc w:val="both"/>
        <w:rPr/>
      </w:pPr>
      <w:r>
        <w:rPr/>
      </w:r>
    </w:p>
    <w:p>
      <w:pPr>
        <w:pStyle w:val="Normal"/>
        <w:numPr>
          <w:ilvl w:val="0"/>
          <w:numId w:val="3"/>
        </w:numPr>
        <w:jc w:val="both"/>
        <w:rPr/>
      </w:pPr>
      <w:r>
        <w:rPr/>
        <w:t xml:space="preserve">Cossarizza A, Pinti M, Nasi M, Gibellini L, Manzini S, Roat E, De Biasi S, Bertoncelli L, Montagna JP, Bisi L, Manzini L, Trenti T, Borghi V, Mussini C.  </w:t>
      </w:r>
      <w:hyperlink r:id="rId5">
        <w:r>
          <w:rPr>
            <w:rStyle w:val="CollegamentoInternet"/>
          </w:rPr>
          <w:t>Increased plasma levels of extracellular mitochondrial DNA during HIV infection: a new role for mitochondrial damage-associated molecular patterns during inflammation.</w:t>
        </w:r>
      </w:hyperlink>
      <w:r>
        <w:rPr/>
        <w:t xml:space="preserve">  Mitochondrion. 2011 Sep;11(5):750-5. </w:t>
      </w:r>
    </w:p>
    <w:p>
      <w:pPr>
        <w:pStyle w:val="Normal"/>
        <w:jc w:val="both"/>
        <w:rPr/>
      </w:pPr>
      <w:r>
        <w:rPr/>
      </w:r>
    </w:p>
    <w:p>
      <w:pPr>
        <w:pStyle w:val="Normal"/>
        <w:numPr>
          <w:ilvl w:val="0"/>
          <w:numId w:val="3"/>
        </w:numPr>
        <w:jc w:val="both"/>
        <w:rPr/>
      </w:pPr>
      <w:r>
        <w:rPr/>
        <w:t xml:space="preserve">Pinti M, Gibellini L, De Biasi S, Nasi M, Roat E, O'Connor JE, Cossarizza A.  </w:t>
      </w:r>
      <w:hyperlink r:id="rId6">
        <w:r>
          <w:rPr>
            <w:rStyle w:val="CollegamentoInternet"/>
          </w:rPr>
          <w:t>Functional characterization of the promoter of the human Lon protease gene.</w:t>
        </w:r>
      </w:hyperlink>
      <w:r>
        <w:rPr/>
        <w:t xml:space="preserve">  Mitochondrion. 2011 Jan;11(1):200-6.</w:t>
      </w:r>
    </w:p>
    <w:p>
      <w:pPr>
        <w:pStyle w:val="Normal"/>
        <w:ind w:left="720" w:hanging="0"/>
        <w:jc w:val="both"/>
        <w:rPr/>
      </w:pPr>
      <w:r>
        <w:rPr/>
      </w:r>
    </w:p>
    <w:p>
      <w:pPr>
        <w:pStyle w:val="Normal"/>
        <w:numPr>
          <w:ilvl w:val="0"/>
          <w:numId w:val="3"/>
        </w:numPr>
        <w:jc w:val="both"/>
        <w:rPr/>
      </w:pPr>
      <w:r>
        <w:rPr>
          <w:lang w:val="en-US"/>
        </w:rPr>
        <w:t>Pinti M, Nasi M, Gibellini L, Roat E, De Biasi S, Bertoncelli L, Cossarizza A. The role of Mitochondria in HIV infection and its treatment.  Journal of Experimental and Clinical Medicine, vol. 2, issue 4 (2010)</w:t>
      </w:r>
    </w:p>
    <w:p>
      <w:pPr>
        <w:pStyle w:val="Normal"/>
        <w:ind w:left="720" w:hanging="0"/>
        <w:jc w:val="both"/>
        <w:rPr>
          <w:lang w:val="en-US"/>
        </w:rPr>
      </w:pPr>
      <w:r>
        <w:rPr>
          <w:lang w:val="en-US"/>
        </w:rPr>
      </w:r>
    </w:p>
    <w:p>
      <w:pPr>
        <w:pStyle w:val="Normal"/>
        <w:numPr>
          <w:ilvl w:val="0"/>
          <w:numId w:val="3"/>
        </w:numPr>
        <w:jc w:val="both"/>
        <w:rPr/>
      </w:pPr>
      <w:r>
        <w:rPr/>
        <w:t xml:space="preserve">Pinti M, Nasi M, Lugli E, Gibellini L, Bertoncelli L, Roat E, De Biasi S, Mussini C, Cossarizza A.  </w:t>
      </w:r>
      <w:hyperlink r:id="rId7">
        <w:r>
          <w:rPr>
            <w:rStyle w:val="CollegamentoInternet"/>
          </w:rPr>
          <w:t>T cell homeostasis in centenarians: from the thymus to the periphery.</w:t>
        </w:r>
      </w:hyperlink>
      <w:r>
        <w:rPr/>
        <w:t xml:space="preserve">  Curr Pharm Des. 2010;16(6):597-603. </w:t>
      </w:r>
    </w:p>
    <w:p>
      <w:pPr>
        <w:pStyle w:val="Normal"/>
        <w:jc w:val="both"/>
        <w:rPr/>
      </w:pPr>
      <w:r>
        <w:rPr/>
      </w:r>
    </w:p>
    <w:p>
      <w:pPr>
        <w:pStyle w:val="Normal"/>
        <w:numPr>
          <w:ilvl w:val="0"/>
          <w:numId w:val="3"/>
        </w:numPr>
        <w:jc w:val="both"/>
        <w:rPr/>
      </w:pPr>
      <w:r>
        <w:rPr/>
        <w:t xml:space="preserve">Maggiolo F, Roat E, Pinti M, Nasi M, Gibellini L, De Biasi S, Airoldi M, Ravasio V, Mussini C, Suter F, Cossarizza A.  </w:t>
      </w:r>
      <w:hyperlink r:id="rId8">
        <w:r>
          <w:rPr>
            <w:rStyle w:val="CollegamentoInternet"/>
          </w:rPr>
          <w:t>Mitochondrial changes during D-drug-containing once-daily therapy in HIV-positive treatment-naive patients.</w:t>
        </w:r>
      </w:hyperlink>
      <w:r>
        <w:rPr/>
        <w:t xml:space="preserve">  Antivir Ther. 2010;15(1):51-9.</w:t>
      </w:r>
    </w:p>
    <w:p>
      <w:pPr>
        <w:pStyle w:val="Normal"/>
        <w:ind w:left="720" w:hanging="0"/>
        <w:jc w:val="both"/>
        <w:rPr/>
      </w:pPr>
      <w:r>
        <w:rPr/>
      </w:r>
    </w:p>
    <w:p>
      <w:pPr>
        <w:pStyle w:val="Normal"/>
        <w:numPr>
          <w:ilvl w:val="0"/>
          <w:numId w:val="3"/>
        </w:numPr>
        <w:jc w:val="both"/>
        <w:rPr/>
      </w:pPr>
      <w:r>
        <w:rPr/>
        <w:t xml:space="preserve">Gibellini L, Pinti M, Nasi M, De Biasi S, Roat E, Bertoncelli L, Cossarizza A.  </w:t>
      </w:r>
      <w:hyperlink r:id="rId9">
        <w:r>
          <w:rPr>
            <w:rStyle w:val="CollegamentoInternet"/>
          </w:rPr>
          <w:t>Interfering with ROS Metabolism in Cancer Cells: The Potential Role of Quercetin.</w:t>
        </w:r>
      </w:hyperlink>
      <w:r>
        <w:rPr/>
        <w:t xml:space="preserve">  Cancers (Basel). 2010 Jun 14;2(2):1288-311. </w:t>
      </w:r>
    </w:p>
    <w:p>
      <w:pPr>
        <w:pStyle w:val="Normal"/>
        <w:jc w:val="both"/>
        <w:rPr/>
      </w:pPr>
      <w:r>
        <w:rPr/>
      </w:r>
    </w:p>
    <w:p>
      <w:pPr>
        <w:pStyle w:val="Normal"/>
        <w:jc w:val="both"/>
        <w:rPr/>
      </w:pPr>
      <w:r>
        <w:rPr/>
      </w:r>
    </w:p>
    <w:p>
      <w:pPr>
        <w:pStyle w:val="Normal"/>
        <w:numPr>
          <w:ilvl w:val="0"/>
          <w:numId w:val="3"/>
        </w:numPr>
        <w:jc w:val="both"/>
        <w:rPr/>
      </w:pPr>
      <w:r>
        <w:rPr/>
        <w:t xml:space="preserve">Cossarizza A, Ferraresi R, Troiano L, Roat E, Gibellini L, Bertoncelli L, Nasi M, Pinti M.  </w:t>
      </w:r>
      <w:hyperlink r:id="rId10">
        <w:r>
          <w:rPr>
            <w:rStyle w:val="CollegamentoInternet"/>
          </w:rPr>
          <w:t>Simultaneous analysis of reactive oxygen species and reduced glutathione content in living cells by polychromatic flow cytometry.</w:t>
        </w:r>
      </w:hyperlink>
      <w:r>
        <w:rPr/>
        <w:t xml:space="preserve">  Nat Protoc. 2009;4(12):1790-7.</w:t>
      </w:r>
    </w:p>
    <w:p>
      <w:pPr>
        <w:pStyle w:val="Normal"/>
        <w:ind w:left="720" w:hanging="0"/>
        <w:jc w:val="both"/>
        <w:rPr/>
      </w:pPr>
      <w:r>
        <w:rPr/>
      </w:r>
    </w:p>
    <w:p>
      <w:pPr>
        <w:pStyle w:val="Normal"/>
        <w:numPr>
          <w:ilvl w:val="0"/>
          <w:numId w:val="3"/>
        </w:numPr>
        <w:jc w:val="both"/>
        <w:rPr/>
      </w:pPr>
      <w:r>
        <w:rPr/>
        <w:t xml:space="preserve">Lugli E, Ferraresi R, Roat E, Troiano L, Pinti M, Nasi M, Nemes E, Bertoncelli L, Gibellini L, Salomoni P, Cooper EL, Cossarizza A.  </w:t>
      </w:r>
      <w:hyperlink r:id="rId11">
        <w:r>
          <w:rPr>
            <w:rStyle w:val="CollegamentoInternet"/>
          </w:rPr>
          <w:t>Quercetin inhibits lymphocyte activation and proliferation without inducing apoptosis in peripheral mononuclear cells.</w:t>
        </w:r>
      </w:hyperlink>
      <w:r>
        <w:rPr/>
        <w:t xml:space="preserve">  Leuk Res. 2009 Jan;33(1):140-50.</w:t>
      </w:r>
    </w:p>
    <w:p>
      <w:pPr>
        <w:pStyle w:val="Normal"/>
        <w:jc w:val="both"/>
        <w:rPr/>
      </w:pPr>
      <w:r>
        <w:rPr/>
      </w:r>
    </w:p>
    <w:p>
      <w:pPr>
        <w:pStyle w:val="Normal"/>
        <w:jc w:val="both"/>
        <w:rPr/>
      </w:pPr>
      <w:r>
        <w:rPr/>
      </w:r>
    </w:p>
    <w:p>
      <w:pPr>
        <w:pStyle w:val="Normal"/>
        <w:numPr>
          <w:ilvl w:val="0"/>
          <w:numId w:val="3"/>
        </w:numPr>
        <w:jc w:val="both"/>
        <w:rPr/>
      </w:pPr>
      <w:r>
        <w:rPr/>
        <w:t xml:space="preserve">Roat E, Prada N, Lugli E, Nasi M, Ferraresi R, Troiano L, Giovenzana C, Pinti M, Biagioni O, Mariotti M, Di Iorio A, Consolo U, Balli F, Cossarizza A.  </w:t>
      </w:r>
      <w:hyperlink r:id="rId12">
        <w:r>
          <w:rPr>
            <w:rStyle w:val="CollegamentoInternet"/>
          </w:rPr>
          <w:t>Homeostatic cytokines and expansion of regulatory T cells accompany thymic impairment in children with Down syndrome.</w:t>
        </w:r>
      </w:hyperlink>
      <w:r>
        <w:rPr/>
        <w:t xml:space="preserve">  Rejuvenation Res. 2008 Jun;11(3):573-83.</w:t>
      </w:r>
    </w:p>
    <w:p>
      <w:pPr>
        <w:pStyle w:val="Normal"/>
        <w:ind w:left="720" w:hanging="0"/>
        <w:jc w:val="both"/>
        <w:rPr/>
      </w:pPr>
      <w:r>
        <w:rPr/>
      </w:r>
    </w:p>
    <w:p>
      <w:pPr>
        <w:pStyle w:val="Normal"/>
        <w:numPr>
          <w:ilvl w:val="0"/>
          <w:numId w:val="3"/>
        </w:numPr>
        <w:jc w:val="both"/>
        <w:rPr/>
      </w:pPr>
      <w:r>
        <w:rPr/>
        <w:t xml:space="preserve">Ferraresi R, Troiano L, Pinti M, Roat E, Lugli E, Quaglino D, Taverna D, Bellizzi D, Passarino G, Cossarizza A.  </w:t>
      </w:r>
      <w:hyperlink r:id="rId13">
        <w:r>
          <w:rPr>
            <w:rStyle w:val="CollegamentoInternet"/>
          </w:rPr>
          <w:t>Resistance of mtDNA-depleted cells to apoptosis.</w:t>
        </w:r>
      </w:hyperlink>
      <w:r>
        <w:rPr/>
        <w:t xml:space="preserve">  Cytometry A. 2008 Jun;73(6):528-37.</w:t>
      </w:r>
    </w:p>
    <w:p>
      <w:pPr>
        <w:pStyle w:val="Normal"/>
        <w:jc w:val="both"/>
        <w:rPr/>
      </w:pPr>
      <w:r>
        <w:rPr/>
      </w:r>
    </w:p>
    <w:p>
      <w:pPr>
        <w:pStyle w:val="Normal"/>
        <w:jc w:val="both"/>
        <w:rPr/>
      </w:pPr>
      <w:r>
        <w:rPr/>
      </w:r>
    </w:p>
    <w:p>
      <w:pPr>
        <w:pStyle w:val="Normal"/>
        <w:numPr>
          <w:ilvl w:val="0"/>
          <w:numId w:val="3"/>
        </w:numPr>
        <w:jc w:val="both"/>
        <w:rPr/>
      </w:pPr>
      <w:r>
        <w:rPr/>
        <w:t xml:space="preserve">Troiano L, Ferraresi R, Lugli E, Nemes E, Roat E, Nasi M, Pinti M, Cossarizza A.  </w:t>
      </w:r>
      <w:hyperlink r:id="rId14">
        <w:r>
          <w:rPr>
            <w:rStyle w:val="CollegamentoInternet"/>
          </w:rPr>
          <w:t>Multiparametric analysis of cells with different mitochondrial membrane potential during apoptosis by polychromatic flow cytometry.</w:t>
        </w:r>
      </w:hyperlink>
      <w:r>
        <w:rPr/>
        <w:t xml:space="preserve">  Nat Protoc. 2007;2(11):2719-27.</w:t>
      </w:r>
    </w:p>
    <w:p>
      <w:pPr>
        <w:pStyle w:val="Normal"/>
        <w:ind w:left="720" w:hanging="0"/>
        <w:jc w:val="both"/>
        <w:rPr/>
      </w:pPr>
      <w:r>
        <w:rPr/>
      </w:r>
    </w:p>
    <w:p>
      <w:pPr>
        <w:pStyle w:val="Normal"/>
        <w:numPr>
          <w:ilvl w:val="0"/>
          <w:numId w:val="3"/>
        </w:numPr>
        <w:jc w:val="both"/>
        <w:rPr/>
      </w:pPr>
      <w:r>
        <w:rPr/>
        <w:t xml:space="preserve">Roat E, Prada N, Ferraresi R, Giovenzana C, Nasi M, Troiano L, Pinti M, Nemes E, Lugli E, Biagioni O, Mariotti M, Ciacci L, Consolo U, Balli F, Cossarizza A.  </w:t>
      </w:r>
      <w:hyperlink r:id="rId15">
        <w:r>
          <w:rPr>
            <w:rStyle w:val="CollegamentoInternet"/>
          </w:rPr>
          <w:t>Mitochondrial alterations and tendency to apoptosis in peripheral blood cells from children with Down syndrome.</w:t>
        </w:r>
      </w:hyperlink>
      <w:r>
        <w:rPr/>
        <w:t xml:space="preserve">  FEBS Lett. 2007 Feb 6;581(3):521-5.</w:t>
      </w:r>
    </w:p>
    <w:p>
      <w:pPr>
        <w:pStyle w:val="Normal"/>
        <w:numPr>
          <w:ilvl w:val="0"/>
          <w:numId w:val="0"/>
        </w:numPr>
        <w:ind w:left="720" w:hanging="0"/>
        <w:jc w:val="both"/>
        <w:rPr/>
      </w:pPr>
      <w:r>
        <w:rPr/>
      </w:r>
    </w:p>
    <w:p>
      <w:pPr>
        <w:pStyle w:val="Normal"/>
        <w:numPr>
          <w:ilvl w:val="0"/>
          <w:numId w:val="3"/>
        </w:numPr>
        <w:jc w:val="both"/>
        <w:rPr/>
      </w:pPr>
      <w:r>
        <w:rPr/>
        <w:t xml:space="preserve">Ferraresi R, Troiano L, Roat E, Nemes E, Lugli E, Nasi M, Pinti M, Calvani M, Iannuccelli M, Cossarizza A.  </w:t>
      </w:r>
      <w:hyperlink r:id="rId16">
        <w:r>
          <w:rPr>
            <w:rStyle w:val="CollegamentoInternet"/>
          </w:rPr>
          <w:t>Protective effect of acetyl-L-carnitine against oxidative stress induced by antiretroviral drugs.</w:t>
        </w:r>
      </w:hyperlink>
      <w:r>
        <w:rPr/>
        <w:t xml:space="preserve">  FEBS Lett. 2006 Dec 11;580(28-29):6612-6.</w:t>
      </w:r>
    </w:p>
    <w:p>
      <w:pPr>
        <w:pStyle w:val="Normal"/>
        <w:ind w:left="720" w:hanging="0"/>
        <w:jc w:val="both"/>
        <w:rPr/>
      </w:pPr>
      <w:r>
        <w:rPr/>
      </w:r>
    </w:p>
    <w:p>
      <w:pPr>
        <w:pStyle w:val="Normal"/>
        <w:numPr>
          <w:ilvl w:val="0"/>
          <w:numId w:val="3"/>
        </w:numPr>
        <w:jc w:val="both"/>
        <w:rPr/>
      </w:pPr>
      <w:r>
        <w:rPr/>
        <w:t xml:space="preserve">Ferraresi R, Troiano L, Roat E, Lugli E, Nemes E, Nasi M, Pinti M, Fernandez MI, Cooper EL, Cossarizza A.  </w:t>
      </w:r>
      <w:hyperlink r:id="rId17">
        <w:r>
          <w:rPr>
            <w:rStyle w:val="CollegamentoInternet"/>
          </w:rPr>
          <w:t>Essential requirement of reduced glutathione (GSH) for the anti-oxidant effect of the flavonoid quercetin.</w:t>
        </w:r>
      </w:hyperlink>
      <w:r>
        <w:rPr/>
        <w:t xml:space="preserve">  Free Radic Res. 2005 Nov;39(11):1249-58.</w:t>
      </w:r>
    </w:p>
    <w:p>
      <w:pPr>
        <w:pStyle w:val="Normal"/>
        <w:jc w:val="both"/>
        <w:rPr/>
      </w:pPr>
      <w:r>
        <w:rPr/>
      </w:r>
    </w:p>
    <w:p>
      <w:pPr>
        <w:pStyle w:val="Normal"/>
        <w:jc w:val="both"/>
        <w:rPr/>
      </w:pPr>
      <w:r>
        <w:rPr/>
      </w:r>
    </w:p>
    <w:p>
      <w:pPr>
        <w:pStyle w:val="Normal"/>
        <w:jc w:val="both"/>
        <w:rPr/>
      </w:pPr>
      <w:r>
        <w:rPr/>
      </w:r>
    </w:p>
    <w:p>
      <w:pPr>
        <w:pStyle w:val="Normal"/>
        <w:numPr>
          <w:ilvl w:val="0"/>
          <w:numId w:val="1"/>
        </w:numPr>
        <w:pBdr/>
        <w:jc w:val="both"/>
        <w:rPr/>
        <w:framePr w:w="361" w:h="294" w:x="0" w:y="6" w:wrap="auto" w:vAnchor="text" w:hAnchor="text" w:hRule="exact"/>
      </w:pPr>
      <w:r>
        <w:rPr/>
      </w:r>
    </w:p>
    <w:p>
      <w:pPr>
        <w:pStyle w:val="Normal"/>
        <w:numPr>
          <w:ilvl w:val="0"/>
          <w:numId w:val="3"/>
        </w:numPr>
        <w:jc w:val="both"/>
        <w:rPr/>
      </w:pPr>
      <w:r>
        <w:rPr/>
        <w:t xml:space="preserve">Galluzzi L, Pinti M, Guaraldi G, Mussini C, Troiano L, Roat E, Giovenzana C, Nemes E, Nasi M, Orlando G, Salomoni P, Cossarizza A. </w:t>
      </w:r>
      <w:hyperlink r:id="rId18">
        <w:r>
          <w:rPr>
            <w:rStyle w:val="CollegamentoInternet"/>
          </w:rPr>
          <w:t>Altered mitochondrial RNA production in adipocytes from HIV-infected individuals with lipodystrophy.</w:t>
        </w:r>
      </w:hyperlink>
      <w:r>
        <w:rPr/>
        <w:t xml:space="preserve"> Antivir Ther. 2005;10 Suppl 2:M91-9.</w:t>
      </w:r>
    </w:p>
    <w:p>
      <w:pPr>
        <w:pStyle w:val="Normal"/>
        <w:ind w:left="720" w:hanging="0"/>
        <w:jc w:val="both"/>
        <w:rPr/>
      </w:pPr>
      <w:r>
        <w:rPr/>
      </w:r>
    </w:p>
    <w:p>
      <w:pPr>
        <w:pStyle w:val="Normal"/>
        <w:ind w:left="360" w:hanging="0"/>
        <w:jc w:val="both"/>
        <w:rPr/>
      </w:pPr>
      <w:r>
        <w:rPr/>
      </w:r>
    </w:p>
    <w:p>
      <w:pPr>
        <w:pStyle w:val="Normal"/>
        <w:numPr>
          <w:ilvl w:val="0"/>
          <w:numId w:val="3"/>
        </w:numPr>
        <w:jc w:val="both"/>
        <w:rPr/>
      </w:pPr>
      <w:r>
        <w:rPr/>
        <w:t xml:space="preserve">Prada N, Nasi M, Troiano L, Roat E, Pinti M, Nemes E, Lugli E, Ferraresi R, Ciacci L, Bertoni D, Biagioni O, Gibertoni M, Cornia C, Meschiari L, Gramazio E, Mariotti M, Consolo U, Balli F, Cossarizza A. </w:t>
      </w:r>
      <w:hyperlink r:id="rId19">
        <w:r>
          <w:rPr>
            <w:rStyle w:val="CollegamentoInternet"/>
          </w:rPr>
          <w:t>Direct analysis of thymic function in children with Down's syndrome.</w:t>
        </w:r>
      </w:hyperlink>
      <w:r>
        <w:rPr/>
        <w:t xml:space="preserve"> Immun Ageing. 2005 Feb 16;2(1):4.</w:t>
      </w:r>
    </w:p>
    <w:p>
      <w:pPr>
        <w:pStyle w:val="Normal"/>
        <w:jc w:val="both"/>
        <w:rPr/>
      </w:pPr>
      <w:r>
        <w:rPr/>
      </w:r>
    </w:p>
    <w:p>
      <w:pPr>
        <w:pStyle w:val="Normal"/>
        <w:ind w:left="720" w:hanging="0"/>
        <w:jc w:val="both"/>
        <w:rPr/>
      </w:pPr>
      <w:r>
        <w:rPr/>
      </w:r>
    </w:p>
    <w:p>
      <w:pPr>
        <w:pStyle w:val="Normal"/>
        <w:pBdr/>
        <w:ind w:left="720" w:hanging="0"/>
        <w:jc w:val="both"/>
        <w:rPr/>
        <w:framePr w:w="2201" w:h="552" w:x="0" w:y="6" w:wrap="auto" w:vAnchor="text" w:hAnchor="text" w:hRule="exact"/>
      </w:pPr>
      <w:r>
        <w:rPr/>
        <w:t>Capitoli di libri</w:t>
      </w:r>
    </w:p>
    <w:p>
      <w:pPr>
        <w:pStyle w:val="Normal"/>
        <w:pBdr/>
        <w:ind w:left="720" w:hanging="0"/>
        <w:jc w:val="both"/>
        <w:rPr/>
        <w:framePr w:w="2201" w:h="552" w:x="0" w:y="6" w:wrap="auto" w:vAnchor="text" w:hAnchor="text" w:hRule="exact"/>
      </w:pPr>
      <w:r>
        <w:rPr/>
      </w:r>
    </w:p>
    <w:p>
      <w:pPr>
        <w:pStyle w:val="Normal"/>
        <w:pBdr/>
        <w:ind w:hanging="0"/>
        <w:jc w:val="both"/>
        <w:rPr>
          <w:b/>
          <w:b/>
          <w:u w:val="single"/>
        </w:rPr>
        <w:framePr w:w="2808" w:h="276" w:x="0" w:y="6" w:wrap="auto" w:vAnchor="text" w:hAnchor="text" w:hRule="exact"/>
      </w:pPr>
      <w:r>
        <w:rPr/>
      </w:r>
    </w:p>
    <w:p>
      <w:pPr>
        <w:pStyle w:val="Normal"/>
        <w:pBdr/>
        <w:ind w:hanging="0"/>
        <w:jc w:val="both"/>
        <w:rPr/>
        <w:framePr w:w="743" w:h="552" w:x="0" w:y="6" w:wrap="auto" w:vAnchor="text" w:hAnchor="text" w:hRule="exact"/>
      </w:pPr>
      <w:r>
        <w:rPr/>
      </w:r>
    </w:p>
    <w:p>
      <w:pPr>
        <w:pStyle w:val="Normal"/>
        <w:pBdr/>
        <w:ind w:left="720" w:hanging="0"/>
        <w:jc w:val="both"/>
        <w:rPr/>
        <w:framePr w:w="743" w:h="552" w:x="0" w:y="6" w:wrap="auto" w:vAnchor="text" w:hAnchor="text" w:hRule="exact"/>
      </w:pPr>
      <w:r>
        <w:rPr/>
      </w:r>
    </w:p>
    <w:p>
      <w:pPr>
        <w:pStyle w:val="Normal"/>
        <w:numPr>
          <w:ilvl w:val="0"/>
          <w:numId w:val="4"/>
        </w:numPr>
        <w:jc w:val="both"/>
        <w:rPr>
          <w:lang w:val="en-US"/>
        </w:rPr>
      </w:pPr>
      <w:r>
        <w:rPr/>
      </w:r>
    </w:p>
    <w:p>
      <w:pPr>
        <w:pStyle w:val="Normal"/>
        <w:pBdr/>
        <w:ind w:left="720" w:hanging="0"/>
        <w:jc w:val="both"/>
        <w:rPr/>
        <w:framePr w:w="2808" w:h="276" w:x="0" w:y="6" w:wrap="auto" w:vAnchor="text" w:hAnchor="text" w:hRule="exact"/>
      </w:pPr>
      <w:r>
        <w:rPr>
          <w:b/>
          <w:u w:val="single"/>
        </w:rPr>
        <w:t>Comunicazioni orali</w:t>
      </w:r>
    </w:p>
    <w:p>
      <w:pPr>
        <w:pStyle w:val="Normal"/>
        <w:jc w:val="both"/>
        <w:rPr>
          <w:lang w:val="en-US"/>
        </w:rPr>
      </w:pPr>
      <w:r>
        <w:rPr/>
      </w:r>
    </w:p>
    <w:p>
      <w:pPr>
        <w:pStyle w:val="Normal"/>
        <w:jc w:val="both"/>
        <w:rPr/>
      </w:pPr>
      <w:r>
        <w:rPr>
          <w:lang w:val="en-US"/>
        </w:rPr>
        <w:t>8-05-2010 Higher immunosoppressive efficacy of everolimus vs cyclosporine in liver transplanted recipients as revealed by polychromatic flow cytometry</w:t>
      </w:r>
    </w:p>
    <w:p>
      <w:pPr>
        <w:pStyle w:val="Normal"/>
        <w:ind w:left="720" w:hanging="0"/>
        <w:jc w:val="both"/>
        <w:rPr/>
      </w:pPr>
      <w:r>
        <w:rPr>
          <w:lang w:val="en-US"/>
        </w:rPr>
        <w:t xml:space="preserve"> </w:t>
      </w:r>
      <w:r>
        <w:rPr>
          <w:lang w:val="en-US"/>
        </w:rPr>
        <w:t xml:space="preserve">XXV congress of the international society for advancement of cytometry </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widowControl/>
        <w:ind w:left="113" w:right="113" w:hanging="0"/>
        <w:jc w:val="both"/>
        <w:rPr/>
      </w:pPr>
      <w:r>
        <w:rPr>
          <w:rFonts w:ascii="Arial Narrow" w:hAnsi="Arial Narrow"/>
        </w:rPr>
        <w:t xml:space="preserve">Autorizzo il trattamento dei miei dati personali ai sensi del D.Lgs. 30 giugno 2003, n. 196 "Codice in materia di protezione dei dati personali" e per gli adempimenti previsti dal D.Lgs. 14 marzo 2013, n.33 riguardante gli obblighi di pubblicità, trasparenza e diffusione di informazioni da parte delle pubbliche amministrazioni. </w:t>
      </w:r>
    </w:p>
    <w:sectPr>
      <w:type w:val="nextPage"/>
      <w:pgSz w:w="11906" w:h="16838"/>
      <w:pgMar w:left="1134" w:right="1134" w:header="0" w:top="1417"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Arial">
    <w:charset w:val="00"/>
    <w:family w:val="roman"/>
    <w:pitch w:val="variable"/>
  </w:font>
  <w:font w:name="Liberation Sans">
    <w:altName w:val="Arial"/>
    <w:charset w:val="00"/>
    <w:family w:val="roman"/>
    <w:pitch w:val="variable"/>
  </w:font>
  <w:font w:name="Arial Narrow">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tabs>
          <w:tab w:val="num" w:pos="720"/>
        </w:tabs>
        <w:ind w:left="72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720"/>
        </w:tabs>
        <w:ind w:left="72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10"/>
  <w:defaultTabStop w:val="708"/>
  <w:autoHyphenation w:val="false"/>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467cb"/>
    <w:pPr>
      <w:widowControl/>
      <w:suppressAutoHyphens w:val="true"/>
      <w:bidi w:val="0"/>
      <w:spacing w:lineRule="auto" w:line="240" w:before="0" w:after="0"/>
      <w:jc w:val="left"/>
    </w:pPr>
    <w:rPr>
      <w:rFonts w:ascii="Times New Roman" w:hAnsi="Times New Roman" w:eastAsia="SimSun" w:cs="Times New Roman"/>
      <w:color w:val="00000A"/>
      <w:sz w:val="24"/>
      <w:szCs w:val="24"/>
      <w:lang w:val="it-IT" w:eastAsia="ar-SA" w:bidi="ar-SA"/>
    </w:rPr>
  </w:style>
  <w:style w:type="paragraph" w:styleId="Titolo3">
    <w:name w:val="Titolo 3"/>
    <w:basedOn w:val="Normal"/>
    <w:link w:val="Titolo3Carattere"/>
    <w:uiPriority w:val="9"/>
    <w:semiHidden/>
    <w:unhideWhenUsed/>
    <w:qFormat/>
    <w:rsid w:val="009467cb"/>
    <w:pPr>
      <w:keepNext/>
      <w:widowControl w:val="false"/>
      <w:spacing w:before="240" w:after="60"/>
      <w:outlineLvl w:val="2"/>
    </w:pPr>
    <w:rPr>
      <w:rFonts w:ascii="Cambria" w:hAnsi="Cambria" w:eastAsia="Times New Roman" w:cs="Mangal"/>
      <w:b/>
      <w:bCs/>
      <w:color w:val="3F3A38"/>
      <w:spacing w:val="-6"/>
      <w:sz w:val="26"/>
      <w:szCs w:val="23"/>
      <w:lang w:eastAsia="hi-IN" w:bidi="hi-IN"/>
    </w:rPr>
  </w:style>
  <w:style w:type="character" w:styleId="DefaultParagraphFont" w:default="1">
    <w:name w:val="Default Paragraph Font"/>
    <w:uiPriority w:val="1"/>
    <w:semiHidden/>
    <w:unhideWhenUsed/>
    <w:qFormat/>
    <w:rPr/>
  </w:style>
  <w:style w:type="character" w:styleId="CollegamentoInternet">
    <w:name w:val="Collegamento Internet"/>
    <w:rsid w:val="009467cb"/>
    <w:rPr>
      <w:color w:val="0000FF"/>
      <w:u w:val="single"/>
    </w:rPr>
  </w:style>
  <w:style w:type="character" w:styleId="Titolo3Carattere" w:customStyle="1">
    <w:name w:val="Titolo 3 Carattere"/>
    <w:basedOn w:val="DefaultParagraphFont"/>
    <w:link w:val="Titolo3"/>
    <w:uiPriority w:val="9"/>
    <w:semiHidden/>
    <w:qFormat/>
    <w:rsid w:val="009467cb"/>
    <w:rPr>
      <w:rFonts w:ascii="Cambria" w:hAnsi="Cambria" w:eastAsia="Times New Roman" w:cs="Mangal"/>
      <w:b/>
      <w:bCs/>
      <w:color w:val="3F3A38"/>
      <w:spacing w:val="-6"/>
      <w:sz w:val="26"/>
      <w:szCs w:val="23"/>
      <w:lang w:eastAsia="hi-IN" w:bidi="hi-IN"/>
    </w:rPr>
  </w:style>
  <w:style w:type="character" w:styleId="ECVHeadingContactDetails" w:customStyle="1">
    <w:name w:val="_ECV_HeadingContactDetails"/>
    <w:qFormat/>
    <w:rsid w:val="009467cb"/>
    <w:rPr>
      <w:rFonts w:ascii="Arial" w:hAnsi="Arial"/>
      <w:color w:val="1593CB"/>
      <w:sz w:val="18"/>
      <w:szCs w:val="18"/>
      <w:shd w:fill="FFFFFF" w:val="clear"/>
    </w:rPr>
  </w:style>
  <w:style w:type="character" w:styleId="Appleconvertedspace" w:customStyle="1">
    <w:name w:val="apple-converted-space"/>
    <w:basedOn w:val="DefaultParagraphFont"/>
    <w:qFormat/>
    <w:rsid w:val="009467cb"/>
    <w:rPr/>
  </w:style>
  <w:style w:type="character" w:styleId="Jrnl" w:customStyle="1">
    <w:name w:val="jrnl"/>
    <w:basedOn w:val="DefaultParagraphFont"/>
    <w:qFormat/>
    <w:rsid w:val="009467cb"/>
    <w:rPr/>
  </w:style>
  <w:style w:type="character" w:styleId="ListLabel1">
    <w:name w:val="ListLabel 1"/>
    <w:qFormat/>
    <w:rPr>
      <w:rFonts w:cs="Symbol"/>
    </w:rPr>
  </w:style>
  <w:style w:type="character" w:styleId="ListLabel2">
    <w:name w:val="ListLabel 2"/>
    <w:qFormat/>
    <w:rPr>
      <w:rFonts w:cs="Courier New"/>
    </w:rPr>
  </w:style>
  <w:style w:type="character" w:styleId="ListLabel3">
    <w:name w:val="ListLabel 3"/>
    <w:qFormat/>
    <w:rPr>
      <w:rFonts w:cs="Symbol"/>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Mangal"/>
      <w:color w:val="3F3A38"/>
      <w:sz w:val="18"/>
    </w:rPr>
  </w:style>
  <w:style w:type="character" w:styleId="ListLabel8">
    <w:name w:val="ListLabel 8"/>
    <w:qFormat/>
    <w:rPr>
      <w:rFonts w:cs="Symbol"/>
    </w:rPr>
  </w:style>
  <w:style w:type="character" w:styleId="ListLabel9">
    <w:name w:val="ListLabel 9"/>
    <w:qFormat/>
    <w:rPr>
      <w:rFonts w:cs="Symbol"/>
    </w:rPr>
  </w:style>
  <w:style w:type="character" w:styleId="ListLabel10">
    <w:name w:val="ListLabel 10"/>
    <w:qFormat/>
    <w:rPr>
      <w:rFonts w:cs="Symbol"/>
      <w:b/>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Symbol"/>
    </w:rPr>
  </w:style>
  <w:style w:type="character" w:styleId="ListLabel21">
    <w:name w:val="ListLabel 21"/>
    <w:qFormat/>
    <w:rPr>
      <w:rFonts w:cs="Symbol"/>
      <w:b/>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cs="Symbol"/>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9467cb"/>
    <w:pPr>
      <w:ind w:left="708" w:hanging="0"/>
    </w:pPr>
    <w:rPr/>
  </w:style>
  <w:style w:type="paragraph" w:styleId="ECVSubSectionHeading" w:customStyle="1">
    <w:name w:val="_ECV_SubSectionHeading"/>
    <w:basedOn w:val="Normal"/>
    <w:qFormat/>
    <w:rsid w:val="009467cb"/>
    <w:pPr>
      <w:widowControl w:val="false"/>
      <w:suppressLineNumbers/>
      <w:spacing w:lineRule="atLeast" w:line="100"/>
    </w:pPr>
    <w:rPr>
      <w:rFonts w:ascii="Arial" w:hAnsi="Arial" w:cs="Mangal"/>
      <w:color w:val="0E4194"/>
      <w:spacing w:val="-6"/>
      <w:sz w:val="22"/>
      <w:lang w:eastAsia="hi-IN" w:bidi="hi-IN"/>
    </w:rPr>
  </w:style>
  <w:style w:type="paragraph" w:styleId="ECVDate" w:customStyle="1">
    <w:name w:val="_ECV_Date"/>
    <w:basedOn w:val="Normal"/>
    <w:qFormat/>
    <w:rsid w:val="009467cb"/>
    <w:pPr>
      <w:widowControl w:val="false"/>
      <w:suppressLineNumbers/>
      <w:spacing w:lineRule="atLeast" w:line="100" w:before="28" w:after="0"/>
      <w:ind w:right="283" w:hanging="0"/>
      <w:jc w:val="right"/>
      <w:textAlignment w:val="top"/>
    </w:pPr>
    <w:rPr>
      <w:rFonts w:ascii="Arial" w:hAnsi="Arial" w:cs="Mangal"/>
      <w:color w:val="0E4194"/>
      <w:spacing w:val="-6"/>
      <w:sz w:val="18"/>
      <w:lang w:eastAsia="hi-IN" w:bidi="hi-IN"/>
    </w:rPr>
  </w:style>
  <w:style w:type="paragraph" w:styleId="ECVSectionDetails" w:customStyle="1">
    <w:name w:val="_ECV_SectionDetails"/>
    <w:basedOn w:val="Normal"/>
    <w:qFormat/>
    <w:rsid w:val="009467cb"/>
    <w:pPr>
      <w:widowControl w:val="false"/>
      <w:suppressLineNumbers/>
      <w:spacing w:lineRule="atLeast" w:line="100" w:before="28" w:after="0"/>
    </w:pPr>
    <w:rPr>
      <w:rFonts w:ascii="Arial" w:hAnsi="Arial" w:cs="Mangal"/>
      <w:color w:val="3F3A38"/>
      <w:spacing w:val="-6"/>
      <w:sz w:val="18"/>
      <w:lang w:eastAsia="hi-IN" w:bidi="hi-IN"/>
    </w:rPr>
  </w:style>
  <w:style w:type="paragraph" w:styleId="Desc" w:customStyle="1">
    <w:name w:val="desc"/>
    <w:basedOn w:val="Normal"/>
    <w:qFormat/>
    <w:rsid w:val="009467cb"/>
    <w:pPr>
      <w:suppressAutoHyphens w:val="false"/>
      <w:spacing w:beforeAutospacing="1" w:afterAutospacing="1"/>
    </w:pPr>
    <w:rPr>
      <w:rFonts w:eastAsia="Times New Roman"/>
      <w:lang w:eastAsia="it-IT"/>
    </w:rPr>
  </w:style>
  <w:style w:type="paragraph" w:styleId="Details" w:customStyle="1">
    <w:name w:val="details"/>
    <w:basedOn w:val="Normal"/>
    <w:qFormat/>
    <w:rsid w:val="009467cb"/>
    <w:pPr>
      <w:suppressAutoHyphens w:val="false"/>
      <w:spacing w:beforeAutospacing="1" w:afterAutospacing="1"/>
    </w:pPr>
    <w:rPr>
      <w:rFonts w:eastAsia="Times New Roman"/>
      <w:lang w:eastAsia="it-IT"/>
    </w:rPr>
  </w:style>
  <w:style w:type="paragraph" w:styleId="Contenutocornice">
    <w:name w:val="Contenuto cornice"/>
    <w:basedOn w:val="Normal"/>
    <w:qFormat/>
    <w:pPr/>
    <w:rPr/>
  </w:style>
  <w:style w:type="numbering" w:styleId="NoList" w:default="1">
    <w:name w:val="No List"/>
    <w:uiPriority w:val="99"/>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ncbi.nlm.nih.gov/pubmed/22623160" TargetMode="External"/><Relationship Id="rId3" Type="http://schemas.openxmlformats.org/officeDocument/2006/relationships/hyperlink" Target="https://www.ncbi.nlm.nih.gov/pubmed/22311717" TargetMode="External"/><Relationship Id="rId4" Type="http://schemas.openxmlformats.org/officeDocument/2006/relationships/hyperlink" Target="https://www.ncbi.nlm.nih.gov/pubmed/21792362" TargetMode="External"/><Relationship Id="rId5" Type="http://schemas.openxmlformats.org/officeDocument/2006/relationships/hyperlink" Target="https://www.ncbi.nlm.nih.gov/pubmed/21722755" TargetMode="External"/><Relationship Id="rId6" Type="http://schemas.openxmlformats.org/officeDocument/2006/relationships/hyperlink" Target="https://www.ncbi.nlm.nih.gov/pubmed/20933102" TargetMode="External"/><Relationship Id="rId7" Type="http://schemas.openxmlformats.org/officeDocument/2006/relationships/hyperlink" Target="https://www.ncbi.nlm.nih.gov/pubmed/20388069" TargetMode="External"/><Relationship Id="rId8" Type="http://schemas.openxmlformats.org/officeDocument/2006/relationships/hyperlink" Target="https://www.ncbi.nlm.nih.gov/pubmed/20167991" TargetMode="External"/><Relationship Id="rId9" Type="http://schemas.openxmlformats.org/officeDocument/2006/relationships/hyperlink" Target="https://www.ncbi.nlm.nih.gov/pubmed/24281116" TargetMode="External"/><Relationship Id="rId10" Type="http://schemas.openxmlformats.org/officeDocument/2006/relationships/hyperlink" Target="https://www.ncbi.nlm.nih.gov/pubmed/20010930" TargetMode="External"/><Relationship Id="rId11" Type="http://schemas.openxmlformats.org/officeDocument/2006/relationships/hyperlink" Target="https://www.ncbi.nlm.nih.gov/pubmed/18774171" TargetMode="External"/><Relationship Id="rId12" Type="http://schemas.openxmlformats.org/officeDocument/2006/relationships/hyperlink" Target="https://www.ncbi.nlm.nih.gov/pubmed/18386990" TargetMode="External"/><Relationship Id="rId13" Type="http://schemas.openxmlformats.org/officeDocument/2006/relationships/hyperlink" Target="https://www.ncbi.nlm.nih.gov/pubmed/18302187" TargetMode="External"/><Relationship Id="rId14" Type="http://schemas.openxmlformats.org/officeDocument/2006/relationships/hyperlink" Target="https://www.ncbi.nlm.nih.gov/pubmed/18007607" TargetMode="External"/><Relationship Id="rId15" Type="http://schemas.openxmlformats.org/officeDocument/2006/relationships/hyperlink" Target="https://www.ncbi.nlm.nih.gov/pubmed/17250829" TargetMode="External"/><Relationship Id="rId16" Type="http://schemas.openxmlformats.org/officeDocument/2006/relationships/hyperlink" Target="https://www.ncbi.nlm.nih.gov/pubmed/17118360" TargetMode="External"/><Relationship Id="rId17" Type="http://schemas.openxmlformats.org/officeDocument/2006/relationships/hyperlink" Target="https://www.ncbi.nlm.nih.gov/pubmed/16298752" TargetMode="External"/><Relationship Id="rId18" Type="http://schemas.openxmlformats.org/officeDocument/2006/relationships/hyperlink" Target="https://www.ncbi.nlm.nih.gov/pubmed/16152710" TargetMode="External"/><Relationship Id="rId19" Type="http://schemas.openxmlformats.org/officeDocument/2006/relationships/hyperlink" Target="https://www.ncbi.nlm.nih.gov/pubmed/15715912" TargetMode="Externa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LibreOffice/5.1.1.3$Windows_x86 LibreOffice_project/89f508ef3ecebd2cfb8e1def0f0ba9a803b88a6d</Application>
  <Pages>3</Pages>
  <Words>1022</Words>
  <Characters>5705</Characters>
  <CharactersWithSpaces>6696</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2017-07-26T12:25:00Z</dcterms:created>
  <dc:creator>user</dc:creator>
  <dc:description/>
  <dc:language>it-IT</dc:language>
  <cp:lastModifiedBy/>
  <dcterms:modified xsi:type="dcterms:W3CDTF">2017-07-27T11:25:00Z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