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VNormal"/>
        <w:ind w:left="113" w:right="113" w:hanging="113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CVNormal"/>
        <w:ind w:left="113" w:right="113" w:hanging="113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CVNormal"/>
        <w:ind w:left="113" w:right="113" w:hanging="113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CVNormal"/>
        <w:ind w:left="113" w:right="113" w:hanging="113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CVNormal"/>
        <w:ind w:left="113" w:right="113" w:hanging="113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CVNormal"/>
        <w:ind w:left="113" w:right="113" w:hanging="113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CVNormal"/>
        <w:ind w:left="113" w:right="113" w:hanging="113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CVNormal"/>
        <w:ind w:left="113" w:right="113" w:hanging="113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tbl>
      <w:tblPr>
        <w:tblStyle w:val="Grigliatabella"/>
        <w:tblW w:w="10063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5"/>
        <w:gridCol w:w="6377"/>
      </w:tblGrid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  <w:sz w:val="24"/>
              </w:rPr>
            </w:pPr>
            <w:r>
              <w:rPr>
                <w:rFonts w:ascii="Cambria" w:hAnsi="Cambria" w:asciiTheme="majorHAnsi" w:hAnsiTheme="majorHAnsi"/>
                <w:b/>
                <w:sz w:val="24"/>
              </w:rPr>
              <w:t>Informazioni personali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Cognome/Nome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="Cambria" w:hAnsi="Cambria" w:asciiTheme="majorHAnsi" w:hAnsiTheme="majorHAnsi"/>
                <w:b/>
              </w:rPr>
              <w:t>Banchelli Federico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Indirizzo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/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Telefono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/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E-Mail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494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Web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/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Cittadinanza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Italiana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Data e luogo di nascita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23/02/1986, Milano</w:t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Sesso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Uomo</w:t>
            </w:r>
          </w:p>
        </w:tc>
      </w:tr>
    </w:tbl>
    <w:p>
      <w:pPr>
        <w:pStyle w:val="Normal"/>
        <w:spacing w:lineRule="auto" w:line="240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spacing w:lineRule="auto" w:line="240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spacing w:lineRule="auto" w:line="240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spacing w:lineRule="auto" w:line="240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tbl>
      <w:tblPr>
        <w:tblStyle w:val="Grigliatabella"/>
        <w:tblW w:w="10064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5"/>
        <w:gridCol w:w="6378"/>
      </w:tblGrid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  <w:sz w:val="28"/>
              </w:rPr>
            </w:pPr>
            <w:r>
              <w:rPr>
                <w:rFonts w:ascii="Cambria" w:hAnsi="Cambria" w:asciiTheme="majorHAnsi" w:hAnsiTheme="majorHAnsi"/>
                <w:b/>
                <w:sz w:val="28"/>
              </w:rPr>
              <w:t>Esperienza professionale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1/11/2014 – 31/10/2016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Lavoro o posizione ricoperti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Tutor didattico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attività e responsabilità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Svolgimento di lezioni frontali e seminari, supporto alla didattica per gli insegnamenti di Biostatistica, Biostatistics, Metodi statistici per il Data Mining, Analisi della sopravvivenza, Statistica sanitaria, Modelli avanzati di analisi della sopravvivenza, Statistica.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indirizzo del datore di lavoro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sz w:val="22"/>
                <w:szCs w:val="22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Università degli Studi di Bologna. Via Zamboni 33, Bologna (BO).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Tipo di attività o settore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Università - didattica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1/9/2016 –  30/9/2016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Lavoro o posizione ricoperti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Collaboratore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attività e responsabilità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 xml:space="preserve">Svolgimento di analisi statistiche e stesura di report analitici in merito ad una rilevazione di dati riguardante il fenomeno dello spreco alimentare domestico. 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indirizzo del datore di lavoro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Dipartimento di Scienze e Tecnologie Agro-Alimentari. Università degli Studi di Bologna. Viale Fanin 44, Bologna (BO).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Tipo di attività o settore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Analisi statistiche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1/4/2013 – in corso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Lavoro o posizione ricoperti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Collaboratore a titolo gratuito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attività e responsabilità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Progettazione dello studio, raccolta e gestione dati e analisi statistica relativamente ad un Trial Clinico per la valutazione dell'efficacia della tecnica di Rieducazione Posturale Globale nei pazienti con cervicalgia cronica aspecifica.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Elaborazioni statistiche riguardanti rilevazioni cliniche sperimentali nei campi della medicina del lavoro e della fisioterapia del pavimento pelvico.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 xml:space="preserve"> 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indirizzo del datore di lavoro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 xml:space="preserve">Dipartimento di Scienze Biomediche e Neuromotorie, Università degli Studi di Bologna. Via Foscolo 7, Bologna (BO). 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Tipo di attività o settore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Trial Clinici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1/5/2016 – 15/5/2016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Lavoro o posizione ricoperti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Collaboratore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attività e responsabilità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Svolgimento di analisi statistiche e stesura di report analitici in merito ad una rilevazione riguardante l’utilizzo di differenti metodologie didattiche.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indirizzo del datore di lavoro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Dipartimento di Scienze e Tecnologie Agro-Alimentari. Università degli Studi di Bologna. Viale Fanin 44, Bologna (BO).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Tipo di attività o settore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Analisi statistiche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1/10/2015 – 14/7/2016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Lavoro o posizione ricoperti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Tutor didattico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attività e responsabilità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Svolgimento lezioni frontali e di supporto alla didattica per il Master di II livello in Biostatistica A.A. 2015/2016 (moduli didattici: Introduzione al software R, Statistica per la ricerca sperimentale, Epidemiologia, Analisi della sopravvivenza).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indirizzo del datore di lavoro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 xml:space="preserve">Fondazione Alma Mater. Via Belle Arti 42, Bologna (BO). 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Tipo di attività o settore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Università - didattica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1/1/2013 – 31/5/2016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Lavoro o posizione ricoperti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Collaboratore esterno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attività e responsabilità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Realizzazione di analisi statistiche riguardanti il database regionale dei ricoveri ospedalieri (SDO), finalizzate alla stesura della Tesi di Dottorato.</w:t>
            </w:r>
          </w:p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Componente del gruppo di lavoro regionale del “Progetto It.DRG” (Determina Regione Emilia-Romagna n° 17034 del 18/11/2014), nell’ambito del progetto nazionale di sviluppo di un nuovo sistema di misurazione e valorizzazione dei prodotti delle strutture ospedaliere italiane. In tale ambito, realizzazione di analisi statistiche riguardanti il database SDO nazionale e la classificazione dei ricoveri DRG.</w:t>
            </w:r>
          </w:p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Analisi e gestione di flussi di dati sanitari e socio-sanitari della Regione Emilia-Romagna in ambiente SAS.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indirizzo del datore di lavoro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 xml:space="preserve">Sistema Informativo Sanità e Politiche Sociali - Regione Emilia-Romagna. Viale Aldo Moro 21, Bologna (BO). 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Tipo di attività o settore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Sistemi informativi sanitari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 xml:space="preserve">19/6/2014 – 14/11/2014 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Lavoro o posizione ricoperti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Tutor didattico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attività e responsabilità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Svolgimento di supporto alla didattica per il Master di II livello in Biostatistica.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indirizzo del datore di lavoro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 xml:space="preserve">Fondazione Alma Mater. Via Belle Arti 42, Bologna (BO). 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Tipo di attività o settore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Università - didattica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 xml:space="preserve">1/1/2013 – 31/9/2013 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Lavoro o posizione ricoperti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Assegnista di ricerca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attività e responsabilità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In servizio presso il Sistema Informativo Sanità e Politiche Sociali della Regione Emilia-Romagna; si veda il relativo paragrafo.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indirizzo del datore di lavoro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Dipartimento di Scienze Statistiche - Università degli Studi di Bologna. Via Belle Arti 41, Bologna (BO).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Tipo di attività o settore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Università- ricerca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 xml:space="preserve">4/3/2012 – 4/6/2012 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Lavoro o posizione ricoperti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Tirocinante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attività e responsabilità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Analisi statistiche relative al Registro dell’Implantologia Protesica Ortopedica (R.I.P.O.) della Regione Emilia-Romagna.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indirizzo del datore di lavoro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Laboratorio di Tecnologia Medica – Istituto Ortopedico Rizzoli. Via di Barbiano 1/10, Bologna (BO).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Tipo di attività o settore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Analisi statistiche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1/5/2009 – 15/7/2009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Lavoro o posizione ricoperti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Tirocinante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attività e responsabilità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 xml:space="preserve">Raccolta dati ed analisi statistiche finalizzate alla validazione su base nazionale del questionario </w:t>
            </w:r>
            <w:r>
              <w:rPr>
                <w:rFonts w:ascii="Cambria" w:hAnsi="Cambria" w:asciiTheme="majorHAnsi" w:hAnsiTheme="majorHAnsi"/>
                <w:sz w:val="22"/>
                <w:szCs w:val="22"/>
                <w:lang w:val="it-IT"/>
              </w:rPr>
              <w:t>Alcohol Use Inventory</w:t>
            </w: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indirizzo del datore di lavoro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Ospedale privato accreditato Villa Maria Luigia. Via Montepelato Nord 41, Monticelli Terme (PR).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Tipo di attività o settore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Analisi statistiche</w:t>
            </w:r>
          </w:p>
        </w:tc>
      </w:tr>
    </w:tbl>
    <w:p>
      <w:pPr>
        <w:pStyle w:val="Normal"/>
        <w:spacing w:lineRule="auto" w:line="240"/>
        <w:jc w:val="right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spacing w:lineRule="auto" w:line="240"/>
        <w:jc w:val="right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spacing w:lineRule="auto" w:line="240"/>
        <w:jc w:val="right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tbl>
      <w:tblPr>
        <w:tblStyle w:val="Grigliatabella"/>
        <w:tblW w:w="10064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5"/>
        <w:gridCol w:w="6378"/>
      </w:tblGrid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  <w:sz w:val="28"/>
              </w:rPr>
            </w:pPr>
            <w:r>
              <w:rPr>
                <w:rFonts w:ascii="Cambria" w:hAnsi="Cambria" w:asciiTheme="majorHAnsi" w:hAnsiTheme="majorHAnsi"/>
                <w:b/>
                <w:sz w:val="28"/>
              </w:rPr>
              <w:t>Istruzione e formazione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1/10/2013 – in corso (ammesso all’esame finale)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Titolo della qualifica rilasciata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Dottorando di ricerca in Scienze Statistiche – indir</w:t>
            </w:r>
            <w:bookmarkStart w:id="0" w:name="_GoBack"/>
            <w:bookmarkEnd w:id="0"/>
            <w:r>
              <w:rPr>
                <w:rFonts w:ascii="Cambria" w:hAnsi="Cambria" w:asciiTheme="majorHAnsi" w:hAnsiTheme="majorHAnsi"/>
              </w:rPr>
              <w:t>izzo Metodologia per la ricerca scientifica.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materie e abilità professionali oggetto dello studio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 xml:space="preserve">La principale linea di ricerca ha riguardato lo studio, lo sviluppo e la valutazione di alcune tecniche di modellazione statistica finalizzate all’applicazione nella classificazione dei ricoveri ospedalieri. Sono stati vagliati numerosi aspetti metodologici relativi ai sistemi di classificazione, oltre a concetti di teoria statistica propri del </w:t>
            </w:r>
            <w:r>
              <w:rPr>
                <w:rFonts w:ascii="Cambria" w:hAnsi="Cambria" w:asciiTheme="majorHAnsi" w:hAnsiTheme="majorHAnsi"/>
                <w:i/>
              </w:rPr>
              <w:t xml:space="preserve">Clinical Data Mining </w:t>
            </w:r>
            <w:r>
              <w:rPr>
                <w:rFonts w:ascii="Cambria" w:hAnsi="Cambria" w:asciiTheme="majorHAnsi" w:hAnsiTheme="majorHAnsi"/>
              </w:rPr>
              <w:t xml:space="preserve">e del </w:t>
            </w:r>
            <w:r>
              <w:rPr>
                <w:rFonts w:ascii="Cambria" w:hAnsi="Cambria" w:asciiTheme="majorHAnsi" w:hAnsiTheme="majorHAnsi"/>
                <w:i/>
              </w:rPr>
              <w:t>Machine Learning</w:t>
            </w:r>
            <w:r>
              <w:rPr>
                <w:rFonts w:ascii="Cambria" w:hAnsi="Cambria" w:asciiTheme="majorHAnsi" w:hAnsiTheme="majorHAnsi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Titolo della tesi: “</w:t>
            </w:r>
            <w:r>
              <w:rPr>
                <w:rFonts w:ascii="Cambria" w:hAnsi="Cambria" w:asciiTheme="majorHAnsi" w:hAnsiTheme="majorHAnsi"/>
                <w:i/>
              </w:rPr>
              <w:t>A recursive partitioning approach to hospital case mix classification”</w:t>
            </w:r>
            <w:r>
              <w:rPr>
                <w:rFonts w:ascii="Cambria" w:hAnsi="Cambria" w:asciiTheme="majorHAnsi" w:hAnsiTheme="majorHAnsi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tipo di istituto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cs="Times-Roman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 xml:space="preserve">Dipartimento di Scienze Statistiche - </w:t>
            </w:r>
            <w:r>
              <w:rPr>
                <w:rFonts w:cs="Times-Roman"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Università degli Studi di Bologna, Bologna (BO)</w:t>
            </w:r>
          </w:p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ascii="Cambria" w:hAnsi="Cambria"/>
                <w:sz w:val="22"/>
                <w:szCs w:val="22"/>
                <w:lang w:val="it-IT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1/10/2009 - 12/10/2012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Titolo della qualifica rilasciata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Dottore Magistrale in Scienze Statistiche – curriculum bio-demografico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materie e abilità professionali oggetto dello studio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Conoscenze avanzate nelle scienze statistiche, in particolare modo riguardanti l’analisi multivariata e lo sviluppo di modelli di regressione per l’analisi di dati. Specifiche nozioni riguardanti la biostatistica e la statistica sanitaria e sociale.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Titolo della tesi: “Metodi di analisi per rischi competitivi: un’applicazione ai dati di un registro di protesi ortopediche”.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tipo di istituto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cs="Times-Roman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 xml:space="preserve">Facoltà di Scienze Statistiche - </w:t>
            </w:r>
            <w:r>
              <w:rPr>
                <w:rFonts w:cs="Times-Roman"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Università degli Studi di Bologna, Bologna (BO).</w:t>
            </w:r>
          </w:p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ascii="Cambria" w:hAnsi="Cambria"/>
                <w:i w:val="false"/>
                <w:sz w:val="22"/>
                <w:szCs w:val="22"/>
                <w:lang w:val="it-IT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Livello nella classificazione nazionale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110/110 con lode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15/9/2005 – 3/12/2009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Titolo della qualifica rilasciata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Dottore in Statistica e Gestione delle Informazioni – curriculum bio-demografico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Principali materie e abilità professionali oggetto dello studio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Conoscenze nell’ambito della gestione di archivi elettronici e delle scienze statistiche, con particolare riferimento alla demografia e alla statistica medica.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cs="Times-Italic" w:asciiTheme="majorHAnsi" w:hAnsiTheme="majorHAnsi"/>
                <w:iCs/>
              </w:rPr>
            </w:pPr>
            <w:r>
              <w:rPr>
                <w:rFonts w:ascii="Cambria" w:hAnsi="Cambria" w:asciiTheme="majorHAnsi" w:hAnsiTheme="majorHAnsi"/>
              </w:rPr>
              <w:t>Titoli delle tesi:  “</w:t>
            </w:r>
            <w:r>
              <w:rPr>
                <w:rFonts w:cs="Times-Italic" w:ascii="Cambria" w:hAnsi="Cambria" w:asciiTheme="majorHAnsi" w:hAnsiTheme="majorHAnsi"/>
                <w:iCs/>
              </w:rPr>
              <w:t>Validazione italiana e caratteristiche psicometriche dell’Alcohol Use Inventory” e “Scelta del gruppo di controllo in presenza di fattori che stanno sul percorso causale tra l’esposizione di interesse e la malattia in studio”.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tipo di istituto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cs="Times-Roman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 xml:space="preserve">Facoltà di Scienze Statistiche - </w:t>
            </w:r>
            <w:r>
              <w:rPr>
                <w:rFonts w:cs="Times-Roman"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Università degli Studi di Milano-Bicocca, Milano (MI).</w:t>
            </w:r>
          </w:p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ascii="Cambria" w:hAnsi="Cambria"/>
                <w:i w:val="false"/>
                <w:sz w:val="22"/>
                <w:szCs w:val="22"/>
                <w:lang w:val="it-IT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Livello nella classificazione nazionale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106/110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Date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10/9/2000 - 11/7/2005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Titolo della qualifica rilasciata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sz w:val="22"/>
                <w:szCs w:val="22"/>
                <w:lang w:val="it-IT"/>
              </w:rPr>
            </w:pPr>
            <w:r>
              <w:rPr>
                <w:rFonts w:cs="Times-Roman"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Diploma di istruzione secondaria superiore</w:t>
            </w:r>
          </w:p>
        </w:tc>
      </w:tr>
      <w:tr>
        <w:trPr>
          <w:trHeight w:val="397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Nome e tipo di istituto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Liceo Scientifico Statale Leonardo da Vinci, Milano (MI).</w:t>
            </w:r>
          </w:p>
        </w:tc>
      </w:tr>
    </w:tbl>
    <w:p>
      <w:pPr>
        <w:pStyle w:val="Normal"/>
        <w:spacing w:lineRule="auto" w:line="240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tbl>
      <w:tblPr>
        <w:tblStyle w:val="Grigliatabella"/>
        <w:tblW w:w="10063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5"/>
        <w:gridCol w:w="6377"/>
      </w:tblGrid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  <w:sz w:val="28"/>
              </w:rPr>
            </w:pPr>
            <w:r>
              <w:rPr>
                <w:rFonts w:ascii="Cambria" w:hAnsi="Cambria" w:asciiTheme="majorHAnsi" w:hAnsiTheme="majorHAnsi"/>
                <w:b/>
                <w:sz w:val="28"/>
              </w:rPr>
              <w:t>Capacità e competenze personali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Madrelingua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Italiano</w:t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Altre lingue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numPr>
                <w:ilvl w:val="0"/>
                <w:numId w:val="1"/>
              </w:numPr>
              <w:spacing w:lineRule="auto" w:line="240" w:before="2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Inglese</w:t>
            </w:r>
          </w:p>
          <w:p>
            <w:pPr>
              <w:pStyle w:val="OiaeaeiYiio2"/>
              <w:widowControl/>
              <w:numPr>
                <w:ilvl w:val="0"/>
                <w:numId w:val="1"/>
              </w:numPr>
              <w:spacing w:lineRule="auto" w:line="240" w:before="20" w:after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</w:rPr>
            </w:pPr>
            <w:r>
              <w:rPr>
                <w:rFonts w:ascii="Cambria" w:hAnsi="Cambria" w:asciiTheme="majorHAnsi" w:hAnsiTheme="majorHAnsi"/>
                <w:i w:val="false"/>
                <w:sz w:val="22"/>
                <w:szCs w:val="22"/>
                <w:lang w:val="it-IT"/>
              </w:rPr>
              <w:t>Francese</w:t>
            </w:r>
          </w:p>
          <w:p>
            <w:pPr>
              <w:pStyle w:val="OiaeaeiYiio2"/>
              <w:widowControl/>
              <w:spacing w:lineRule="auto" w:line="240" w:before="20" w:after="0"/>
              <w:ind w:left="720" w:hanging="0"/>
              <w:jc w:val="left"/>
              <w:rPr>
                <w:rFonts w:ascii="Cambria" w:hAnsi="Cambria" w:asciiTheme="majorHAnsi" w:hAnsiTheme="majorHAnsi"/>
                <w:i w:val="false"/>
                <w:i w:val="false"/>
                <w:sz w:val="22"/>
                <w:szCs w:val="22"/>
              </w:rPr>
            </w:pPr>
            <w:r>
              <w:rPr>
                <w:rFonts w:asciiTheme="majorHAnsi" w:hAnsiTheme="majorHAnsi" w:ascii="Cambria" w:hAnsi="Cambria"/>
                <w:i w:val="false"/>
                <w:sz w:val="22"/>
                <w:szCs w:val="22"/>
              </w:rPr>
            </w:r>
          </w:p>
        </w:tc>
      </w:tr>
      <w:tr>
        <w:trPr>
          <w:trHeight w:val="1980" w:hRule="atLeast"/>
        </w:trPr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Autovalutazione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i/>
                <w:i/>
              </w:rPr>
            </w:pPr>
            <w:r>
              <w:rPr>
                <w:rFonts w:ascii="Cambria" w:hAnsi="Cambria" w:asciiTheme="majorHAnsi" w:hAnsiTheme="majorHAnsi"/>
                <w:i/>
              </w:rPr>
              <w:t>Livello europeo (*)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Inglese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Francese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OiaeaeiYiio2"/>
              <w:widowControl/>
              <w:spacing w:lineRule="auto" w:line="240" w:before="20" w:after="0"/>
              <w:jc w:val="left"/>
              <w:rPr>
                <w:rFonts w:ascii="Cambria" w:hAnsi="Cambria" w:asciiTheme="majorHAnsi" w:hAnsiTheme="majorHAnsi"/>
                <w:sz w:val="22"/>
                <w:szCs w:val="22"/>
                <w:lang w:val="it-IT"/>
              </w:rPr>
            </w:pPr>
            <w:r>
              <w:rPr>
                <w:rFonts w:ascii="Cambria" w:hAnsi="Cambria" w:asciiTheme="majorHAnsi" w:hAnsiTheme="majorHAnsi"/>
                <w:sz w:val="22"/>
                <w:szCs w:val="22"/>
                <w:lang w:val="it-IT"/>
              </w:rPr>
              <w:t>(*) Quadro comune europeo di riferimento per le lingue</w:t>
            </w:r>
          </w:p>
          <w:p>
            <w:pPr>
              <w:pStyle w:val="OiaeaeiYiio2"/>
              <w:widowControl/>
              <w:spacing w:lineRule="auto" w:line="240" w:before="20" w:after="0"/>
              <w:jc w:val="left"/>
              <w:rPr>
                <w:rFonts w:ascii="Cambria" w:hAnsi="Cambria" w:asciiTheme="majorHAnsi" w:hAnsiTheme="majorHAnsi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ascii="Cambria" w:hAnsi="Cambria"/>
                <w:sz w:val="22"/>
                <w:szCs w:val="22"/>
                <w:lang w:val="it-IT"/>
              </w:rPr>
              <mc:AlternateContent>
                <mc:Choice Requires="wps">
                  <w:drawing>
                    <wp:anchor behindDoc="0" distT="0" distB="0" distL="89535" distR="89535" simplePos="0" locked="0" layoutInCell="1" allowOverlap="1" relativeHeight="2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-1527810</wp:posOffset>
                      </wp:positionV>
                      <wp:extent cx="3868420" cy="1148080"/>
                      <wp:effectExtent l="0" t="0" r="0" b="0"/>
                      <wp:wrapSquare wrapText="bothSides"/>
                      <wp:docPr id="1" name="Cornic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67840" cy="1147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tbl>
                                  <w:tblPr>
                                    <w:tblStyle w:val="Grigliatabella"/>
                                    <w:tblW w:w="6091" w:type="dxa"/>
                                    <w:jc w:val="left"/>
                                    <w:tblInd w:w="211" w:type="dxa"/>
                                    <w:tblCellMar>
                                      <w:top w:w="0" w:type="dxa"/>
                                      <w:left w:w="98" w:type="dxa"/>
                                      <w:bottom w:w="0" w:type="dxa"/>
                                      <w:right w:w="108" w:type="dxa"/>
                                    </w:tblCellMar>
                                    <w:tblLook w:firstRow="1" w:noVBand="1" w:lastRow="0" w:firstColumn="1" w:lastColumn="0" w:noHBand="0" w:val="04a0"/>
                                  </w:tblPr>
                                  <w:tblGrid>
                                    <w:gridCol w:w="1218"/>
                                    <w:gridCol w:w="1218"/>
                                    <w:gridCol w:w="1218"/>
                                    <w:gridCol w:w="1218"/>
                                    <w:gridCol w:w="1219"/>
                                  </w:tblGrid>
                                  <w:tr>
                                    <w:trPr/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1" w:name="__UnoMark__761_378033640"/>
                                        <w:bookmarkEnd w:id="1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Comprensione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2" w:name="__UnoMark__763_378033640"/>
                                        <w:bookmarkStart w:id="3" w:name="__UnoMark__762_378033640"/>
                                        <w:bookmarkEnd w:id="2"/>
                                        <w:bookmarkEnd w:id="3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Parlato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55" w:type="dxa"/>
                                        <w:gridSpan w:val="3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4" w:name="__UnoMark__765_378033640"/>
                                        <w:bookmarkStart w:id="5" w:name="__UnoMark__764_378033640"/>
                                        <w:bookmarkEnd w:id="4"/>
                                        <w:bookmarkEnd w:id="5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Scritto</w:t>
                                        </w:r>
                                      </w:p>
                                    </w:tc>
                                  </w:tr>
                                  <w:tr>
                                    <w:trPr/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6" w:name="__UnoMark__767_378033640"/>
                                        <w:bookmarkStart w:id="7" w:name="__UnoMark__766_378033640"/>
                                        <w:bookmarkEnd w:id="6"/>
                                        <w:bookmarkEnd w:id="7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Ascolto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8" w:name="__UnoMark__769_378033640"/>
                                        <w:bookmarkStart w:id="9" w:name="__UnoMark__768_378033640"/>
                                        <w:bookmarkEnd w:id="8"/>
                                        <w:bookmarkEnd w:id="9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Lettura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10" w:name="__UnoMark__771_378033640"/>
                                        <w:bookmarkStart w:id="11" w:name="__UnoMark__770_378033640"/>
                                        <w:bookmarkEnd w:id="10"/>
                                        <w:bookmarkEnd w:id="11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Interazione orale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12" w:name="__UnoMark__773_378033640"/>
                                        <w:bookmarkStart w:id="13" w:name="__UnoMark__772_378033640"/>
                                        <w:bookmarkEnd w:id="12"/>
                                        <w:bookmarkEnd w:id="13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Produzione orale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9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</w:pPr>
                                        <w:bookmarkStart w:id="14" w:name="__UnoMark__774_378033640"/>
                                        <w:bookmarkStart w:id="15" w:name="__UnoMark__775_378033640"/>
                                        <w:bookmarkStart w:id="16" w:name="__UnoMark__774_378033640"/>
                                        <w:bookmarkStart w:id="17" w:name="__UnoMark__775_378033640"/>
                                        <w:bookmarkEnd w:id="16"/>
                                        <w:bookmarkEnd w:id="17"/>
                                        <w:r>
                                          <w:rPr>
                                            <w:rFonts w:asciiTheme="majorHAnsi" w:hAnsiTheme="majorHAnsi" w:ascii="Cambria" w:hAnsi="Cambria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</w:r>
                                      </w:p>
                                    </w:tc>
                                  </w:tr>
                                  <w:tr>
                                    <w:trPr/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18" w:name="__UnoMark__777_378033640"/>
                                        <w:bookmarkStart w:id="19" w:name="__UnoMark__776_378033640"/>
                                        <w:bookmarkEnd w:id="18"/>
                                        <w:bookmarkEnd w:id="19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C1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20" w:name="__UnoMark__779_378033640"/>
                                        <w:bookmarkStart w:id="21" w:name="__UnoMark__778_378033640"/>
                                        <w:bookmarkEnd w:id="20"/>
                                        <w:bookmarkEnd w:id="21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C1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22" w:name="__UnoMark__781_378033640"/>
                                        <w:bookmarkStart w:id="23" w:name="__UnoMark__780_378033640"/>
                                        <w:bookmarkEnd w:id="22"/>
                                        <w:bookmarkEnd w:id="23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B2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24" w:name="__UnoMark__783_378033640"/>
                                        <w:bookmarkStart w:id="25" w:name="__UnoMark__782_378033640"/>
                                        <w:bookmarkEnd w:id="24"/>
                                        <w:bookmarkEnd w:id="25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C1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9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26" w:name="__UnoMark__785_378033640"/>
                                        <w:bookmarkStart w:id="27" w:name="__UnoMark__784_378033640"/>
                                        <w:bookmarkEnd w:id="26"/>
                                        <w:bookmarkEnd w:id="27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C1</w:t>
                                        </w:r>
                                      </w:p>
                                    </w:tc>
                                  </w:tr>
                                  <w:tr>
                                    <w:trPr/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28" w:name="__UnoMark__787_378033640"/>
                                        <w:bookmarkStart w:id="29" w:name="__UnoMark__786_378033640"/>
                                        <w:bookmarkEnd w:id="28"/>
                                        <w:bookmarkEnd w:id="29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B2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30" w:name="__UnoMark__789_378033640"/>
                                        <w:bookmarkStart w:id="31" w:name="__UnoMark__788_378033640"/>
                                        <w:bookmarkEnd w:id="30"/>
                                        <w:bookmarkEnd w:id="31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B2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32" w:name="__UnoMark__791_378033640"/>
                                        <w:bookmarkStart w:id="33" w:name="__UnoMark__790_378033640"/>
                                        <w:bookmarkEnd w:id="32"/>
                                        <w:bookmarkEnd w:id="33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B1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8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34" w:name="__UnoMark__793_378033640"/>
                                        <w:bookmarkStart w:id="35" w:name="__UnoMark__792_378033640"/>
                                        <w:bookmarkEnd w:id="34"/>
                                        <w:bookmarkEnd w:id="35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B2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19" w:type="dxa"/>
                                        <w:tcBorders/>
                                        <w:shd w:fill="auto" w:val="clear"/>
                                        <w:tcMar>
                                          <w:left w:w="98" w:type="dxa"/>
                                        </w:tcMar>
                                        <w:vAlign w:val="center"/>
                                      </w:tcPr>
                                      <w:p>
                                        <w:pPr>
                                          <w:pStyle w:val="OiaeaeiYiio2"/>
                                          <w:widowControl/>
                                          <w:spacing w:lineRule="auto" w:line="240" w:before="20"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bookmarkStart w:id="36" w:name="__UnoMark__794_378033640"/>
                                        <w:bookmarkEnd w:id="36"/>
                                        <w:r>
                                          <w:rPr>
                                            <w:rFonts w:ascii="Cambria" w:hAnsi="Cambria" w:asciiTheme="majorHAnsi" w:hAnsiTheme="majorHAnsi"/>
                                            <w:i w:val="false"/>
                                            <w:color w:val="auto"/>
                                            <w:sz w:val="20"/>
                                            <w:szCs w:val="22"/>
                                          </w:rPr>
                                          <w:t>B2</w:t>
                                        </w:r>
                                      </w:p>
                                    </w:tc>
                                  </w:tr>
                                </w:tbl>
                                <w:p>
                                  <w:pPr>
                                    <w:pStyle w:val="Contenutocornice"/>
                                    <w:spacing w:before="0" w:after="20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xbxContent>
                            </wps:txbx>
                            <wps:bodyPr lIns="0" rIns="0" tIns="0" bIns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Cornice1" stroked="f" style="position:absolute;margin-left:-5.4pt;margin-top:-120.3pt;width:304.5pt;height:90.3pt;mso-position-horizontal-relative:margin">
                      <w10:wrap type="none"/>
                      <v:fill o:detectmouseclick="t" on="false"/>
                      <v:stroke color="#3465a4" joinstyle="round" endcap="flat"/>
                      <v:textbox>
                        <w:txbxContent>
                          <w:tbl>
                            <w:tblPr>
                              <w:tblStyle w:val="Grigliatabella"/>
                              <w:tblW w:w="6091" w:type="dxa"/>
                              <w:jc w:val="left"/>
                              <w:tblInd w:w="211" w:type="dxa"/>
                              <w:tblCellMar>
                                <w:top w:w="0" w:type="dxa"/>
                                <w:left w:w="98" w:type="dxa"/>
                                <w:bottom w:w="0" w:type="dxa"/>
                                <w:right w:w="108" w:type="dxa"/>
                              </w:tblCellMar>
                              <w:tblLook w:firstRow="1" w:noVBand="1" w:lastRow="0" w:firstColumn="1" w:lastColumn="0" w:noHBand="0" w:val="04a0"/>
                            </w:tblPr>
                            <w:tblGrid>
                              <w:gridCol w:w="1218"/>
                              <w:gridCol w:w="1218"/>
                              <w:gridCol w:w="1218"/>
                              <w:gridCol w:w="1218"/>
                              <w:gridCol w:w="1219"/>
                            </w:tblGrid>
                            <w:tr>
                              <w:trPr/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37" w:name="__UnoMark__761_378033640"/>
                                  <w:bookmarkEnd w:id="37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Comprensione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38" w:name="__UnoMark__763_378033640"/>
                                  <w:bookmarkStart w:id="39" w:name="__UnoMark__762_378033640"/>
                                  <w:bookmarkEnd w:id="38"/>
                                  <w:bookmarkEnd w:id="39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Parlato</w:t>
                                  </w:r>
                                </w:p>
                              </w:tc>
                              <w:tc>
                                <w:tcPr>
                                  <w:tcW w:w="3655" w:type="dxa"/>
                                  <w:gridSpan w:val="3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40" w:name="__UnoMark__765_378033640"/>
                                  <w:bookmarkStart w:id="41" w:name="__UnoMark__764_378033640"/>
                                  <w:bookmarkEnd w:id="40"/>
                                  <w:bookmarkEnd w:id="41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Scritto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42" w:name="__UnoMark__767_378033640"/>
                                  <w:bookmarkStart w:id="43" w:name="__UnoMark__766_378033640"/>
                                  <w:bookmarkEnd w:id="42"/>
                                  <w:bookmarkEnd w:id="43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Ascolto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44" w:name="__UnoMark__769_378033640"/>
                                  <w:bookmarkStart w:id="45" w:name="__UnoMark__768_378033640"/>
                                  <w:bookmarkEnd w:id="44"/>
                                  <w:bookmarkEnd w:id="45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Lettura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46" w:name="__UnoMark__771_378033640"/>
                                  <w:bookmarkStart w:id="47" w:name="__UnoMark__770_378033640"/>
                                  <w:bookmarkEnd w:id="46"/>
                                  <w:bookmarkEnd w:id="47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Interazione orale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48" w:name="__UnoMark__773_378033640"/>
                                  <w:bookmarkStart w:id="49" w:name="__UnoMark__772_378033640"/>
                                  <w:bookmarkEnd w:id="48"/>
                                  <w:bookmarkEnd w:id="49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Produzione orale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</w:pPr>
                                  <w:bookmarkStart w:id="50" w:name="__UnoMark__774_378033640"/>
                                  <w:bookmarkStart w:id="51" w:name="__UnoMark__775_378033640"/>
                                  <w:bookmarkStart w:id="52" w:name="__UnoMark__774_378033640"/>
                                  <w:bookmarkStart w:id="53" w:name="__UnoMark__775_378033640"/>
                                  <w:bookmarkEnd w:id="52"/>
                                  <w:bookmarkEnd w:id="53"/>
                                  <w:r>
                                    <w:rPr>
                                      <w:rFonts w:asciiTheme="majorHAnsi" w:hAnsiTheme="majorHAnsi" w:ascii="Cambria" w:hAnsi="Cambria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54" w:name="__UnoMark__777_378033640"/>
                                  <w:bookmarkStart w:id="55" w:name="__UnoMark__776_378033640"/>
                                  <w:bookmarkEnd w:id="54"/>
                                  <w:bookmarkEnd w:id="55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56" w:name="__UnoMark__779_378033640"/>
                                  <w:bookmarkStart w:id="57" w:name="__UnoMark__778_378033640"/>
                                  <w:bookmarkEnd w:id="56"/>
                                  <w:bookmarkEnd w:id="57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58" w:name="__UnoMark__781_378033640"/>
                                  <w:bookmarkStart w:id="59" w:name="__UnoMark__780_378033640"/>
                                  <w:bookmarkEnd w:id="58"/>
                                  <w:bookmarkEnd w:id="59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60" w:name="__UnoMark__783_378033640"/>
                                  <w:bookmarkStart w:id="61" w:name="__UnoMark__782_378033640"/>
                                  <w:bookmarkEnd w:id="60"/>
                                  <w:bookmarkEnd w:id="61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62" w:name="__UnoMark__785_378033640"/>
                                  <w:bookmarkStart w:id="63" w:name="__UnoMark__784_378033640"/>
                                  <w:bookmarkEnd w:id="62"/>
                                  <w:bookmarkEnd w:id="63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C1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64" w:name="__UnoMark__787_378033640"/>
                                  <w:bookmarkStart w:id="65" w:name="__UnoMark__786_378033640"/>
                                  <w:bookmarkEnd w:id="64"/>
                                  <w:bookmarkEnd w:id="65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66" w:name="__UnoMark__789_378033640"/>
                                  <w:bookmarkStart w:id="67" w:name="__UnoMark__788_378033640"/>
                                  <w:bookmarkEnd w:id="66"/>
                                  <w:bookmarkEnd w:id="67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68" w:name="__UnoMark__791_378033640"/>
                                  <w:bookmarkStart w:id="69" w:name="__UnoMark__790_378033640"/>
                                  <w:bookmarkEnd w:id="68"/>
                                  <w:bookmarkEnd w:id="69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0" w:name="__UnoMark__793_378033640"/>
                                  <w:bookmarkStart w:id="71" w:name="__UnoMark__792_378033640"/>
                                  <w:bookmarkEnd w:id="70"/>
                                  <w:bookmarkEnd w:id="71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219" w:type="dxa"/>
                                  <w:tcBorders/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OiaeaeiYiio2"/>
                                    <w:widowControl/>
                                    <w:spacing w:lineRule="auto" w:line="240" w:before="2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2" w:name="__UnoMark__794_378033640"/>
                                  <w:bookmarkEnd w:id="72"/>
                                  <w:r>
                                    <w:rPr>
                                      <w:rFonts w:ascii="Cambria" w:hAnsi="Cambria" w:asciiTheme="majorHAnsi" w:hAnsiTheme="majorHAnsi"/>
                                      <w:i w:val="false"/>
                                      <w:color w:val="auto"/>
                                      <w:sz w:val="20"/>
                                      <w:szCs w:val="22"/>
                                    </w:rPr>
                                    <w:t>B2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spacing w:before="0" w:after="20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>
        <w:trPr/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Certificazioni linguistiche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20" w:after="0"/>
              <w:contextualSpacing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i/>
              </w:rPr>
              <w:t>First Certificate in English</w:t>
            </w:r>
            <w:r>
              <w:rPr>
                <w:rFonts w:ascii="Cambria" w:hAnsi="Cambria" w:asciiTheme="majorHAnsi" w:hAnsiTheme="majorHAnsi"/>
              </w:rPr>
              <w:t>, rilasciato da “University of Cambridge” in data 09/08/2004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20" w:after="0"/>
              <w:contextualSpacing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  <w:i/>
              </w:rPr>
              <w:t>Delf A4</w:t>
            </w:r>
            <w:r>
              <w:rPr>
                <w:rFonts w:ascii="Cambria" w:hAnsi="Cambria" w:asciiTheme="majorHAnsi" w:hAnsiTheme="majorHAnsi"/>
              </w:rPr>
              <w:t>, rilasciato da “Ministère de l’Education Nationale” in data 15/07/2003</w:t>
            </w:r>
          </w:p>
          <w:p>
            <w:pPr>
              <w:pStyle w:val="ListParagraph"/>
              <w:spacing w:lineRule="auto" w:line="240" w:before="20" w:after="0"/>
              <w:contextualSpacing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Capacità e competenze sociali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Possiedo uno spiccato spirito di gruppo, ottime capacità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comunicative e organizzative derivanti per lo più da un’indole caratteriale.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Capacità e competenze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tecniche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Progettazione ed esecuzione di analisi statistiche su grandi moli di dati. Gestione di flussi di dati in formato elettronico.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Conoscenza delle banche dati sanitarie e socio-sanitarie regionali.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Conoscenza dei sistemi di classificazione dei ricoveri adottati in ambito nazionale e internazionale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Conoscenza dei sistemi di classificazione internazionali di diagnosi e procedure e della loro trattazione sotto il profilo dell’analisi dei dati.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/>
              </w:rPr>
            </w:r>
          </w:p>
        </w:tc>
      </w:tr>
      <w:tr>
        <w:trPr/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Capacità e competenze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informatiche</w:t>
            </w:r>
          </w:p>
        </w:tc>
        <w:tc>
          <w:tcPr>
            <w:tcW w:w="6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Ottima padronanza nell'utilizzo dei seguenti software per analisi statistiche: SAS Foundation e relativo linguaggio macro, SAS Enterprise Guide, SAS Enterprise Miner, R, RStudio e relativo linguaggio RMarkdown, STATA, SPSS.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 xml:space="preserve">Ottima padronanza nell’utilizzo dei principali sistemi operativi (Microsoft Windows, Apple Mac OS e numerose distribuzioni Linux).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 xml:space="preserve">Ottima conoscenza della suite Microsoft Office, con particolare riferimento a Microsoft Excel.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Ottima conoscenza della suite Latex.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cs="Times-Roman" w:asciiTheme="majorHAnsi" w:hAnsiTheme="majorHAnsi"/>
              </w:rPr>
            </w:pPr>
            <w:r>
              <w:rPr>
                <w:rFonts w:cs="Times-Roman" w:ascii="Cambria" w:hAnsi="Cambria" w:asciiTheme="majorHAnsi" w:hAnsiTheme="majorHAnsi"/>
              </w:rPr>
              <w:t>Conoscenza basilare dei linguaggi SQL e Visual Basic.</w:t>
            </w:r>
          </w:p>
        </w:tc>
      </w:tr>
    </w:tbl>
    <w:p>
      <w:pPr>
        <w:pStyle w:val="Normal"/>
        <w:spacing w:lineRule="auto" w:line="240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spacing w:lineRule="auto" w:line="240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tbl>
      <w:tblPr>
        <w:tblStyle w:val="Grigliatabella"/>
        <w:tblW w:w="10063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5"/>
        <w:gridCol w:w="6377"/>
      </w:tblGrid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  <w:sz w:val="28"/>
              </w:rPr>
            </w:pPr>
            <w:r>
              <w:rPr>
                <w:rFonts w:ascii="Cambria" w:hAnsi="Cambria" w:asciiTheme="majorHAnsi" w:hAnsiTheme="majorHAnsi"/>
                <w:b/>
                <w:sz w:val="28"/>
              </w:rPr>
              <w:t>Ulteriori informazioni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Pubblicazioni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Effectiveness of Global Postural Reeducation in Patients With Chronic Nonspecific Neck Pain: A Randomized Controlled Trial.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Pillastrini P, De Lima E Sá Resende F, Banchelli F, Burioli A, Di Ciaccio E, Guccione AA, Villafañe JH, Vanti C.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“</w:t>
            </w:r>
            <w:r>
              <w:rPr>
                <w:rFonts w:ascii="Cambria" w:hAnsi="Cambria" w:asciiTheme="majorHAnsi" w:hAnsiTheme="majorHAnsi"/>
              </w:rPr>
              <w:t>Physical Therapy”. 2016 Mar 24. [Epub ahead of print]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Federico Banchelli; Rossella Miglio; Eleonora Verdini, Model-based recursive partitioning applied to Emilia-Romagna region hospital discharge data., in: IROeS 2015 Book of Abstracts, 2015, pp. 49 - 50 (atti di: Joint Meeting of the International Biometric Society (IBS) Italian and Austro-Swiss Regions, Milano, 15-19 giugno 2015) [atti di convegno-abstract]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  <w:highlight w:val="white"/>
              </w:rPr>
            </w:pPr>
            <w:r>
              <w:rPr>
                <w:rStyle w:val="Author"/>
                <w:rFonts w:ascii="Cambria" w:hAnsi="Cambria" w:asciiTheme="majorHAnsi" w:hAnsiTheme="majorHAnsi"/>
                <w:shd w:fill="FFFFFF" w:val="clear"/>
              </w:rPr>
              <w:t>Arianna Bortolami;Carla Vanti;Federico Banchelli;Andrew A. Guccione;Paolo Pillastrini</w:t>
            </w:r>
            <w:r>
              <w:rPr>
                <w:rFonts w:ascii="Cambria" w:hAnsi="Cambria" w:asciiTheme="majorHAnsi" w:hAnsiTheme="majorHAnsi"/>
                <w:shd w:fill="FFFFFF" w:val="clear"/>
              </w:rPr>
              <w:t>,</w:t>
            </w:r>
            <w:r>
              <w:rPr>
                <w:rStyle w:val="Appleconvertedspace"/>
                <w:rFonts w:ascii="Cambria" w:hAnsi="Cambria" w:asciiTheme="majorHAnsi" w:hAnsiTheme="majorHAnsi"/>
                <w:shd w:fill="FFFFFF" w:val="clear"/>
              </w:rPr>
              <w:t> </w:t>
            </w:r>
            <w:r>
              <w:rPr>
                <w:rStyle w:val="Enfasi"/>
                <w:rFonts w:ascii="Cambria" w:hAnsi="Cambria" w:asciiTheme="majorHAnsi" w:hAnsiTheme="majorHAnsi"/>
                <w:i w:val="false"/>
                <w:shd w:fill="FFFFFF" w:val="clear"/>
              </w:rPr>
              <w:t>Relationship Between Female Pelvic Floor Dysfunction and Sexual Dysfunction: An Observational Study</w:t>
            </w:r>
            <w:r>
              <w:rPr>
                <w:rFonts w:ascii="Cambria" w:hAnsi="Cambria" w:asciiTheme="majorHAnsi" w:hAnsiTheme="majorHAnsi"/>
                <w:shd w:fill="FFFFFF" w:val="clear"/>
              </w:rPr>
              <w:t>, “Journal of Sexual Medicine”, 2015, Apr 8, pp. 1 - 9 [articolo]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  <w:shd w:fill="FFFFFF" w:val="clear"/>
              </w:rPr>
            </w:pPr>
            <w:r>
              <w:rPr>
                <w:rFonts w:asciiTheme="majorHAnsi" w:hAnsiTheme="majorHAnsi" w:ascii="Cambria" w:hAnsi="Cambria"/>
                <w:shd w:fill="FFFFFF" w:val="clear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  <w:highlight w:val="white"/>
              </w:rPr>
            </w:pPr>
            <w:r>
              <w:rPr>
                <w:rStyle w:val="Author"/>
                <w:rFonts w:ascii="Cambria" w:hAnsi="Cambria" w:asciiTheme="majorHAnsi" w:hAnsiTheme="majorHAnsi"/>
                <w:shd w:fill="FFFFFF" w:val="clear"/>
              </w:rPr>
              <w:t>Bortolami A; Banchelli F; Guccione AA; Vanti C; Pillastrini P.</w:t>
            </w:r>
            <w:r>
              <w:rPr>
                <w:rFonts w:ascii="Cambria" w:hAnsi="Cambria" w:asciiTheme="majorHAnsi" w:hAnsiTheme="majorHAnsi"/>
                <w:shd w:fill="FFFFFF" w:val="clear"/>
              </w:rPr>
              <w:t>,</w:t>
            </w:r>
            <w:r>
              <w:rPr>
                <w:rStyle w:val="Appleconvertedspace"/>
                <w:rFonts w:ascii="Cambria" w:hAnsi="Cambria" w:asciiTheme="majorHAnsi" w:hAnsiTheme="majorHAnsi"/>
                <w:shd w:fill="FFFFFF" w:val="clear"/>
              </w:rPr>
              <w:t> </w:t>
            </w:r>
            <w:r>
              <w:rPr>
                <w:rStyle w:val="Enfasi"/>
                <w:rFonts w:ascii="Cambria" w:hAnsi="Cambria" w:asciiTheme="majorHAnsi" w:hAnsiTheme="majorHAnsi"/>
                <w:shd w:fill="FFFFFF" w:val="clear"/>
              </w:rPr>
              <w:t>“</w:t>
            </w:r>
            <w:r>
              <w:rPr>
                <w:rStyle w:val="Enfasi"/>
                <w:rFonts w:ascii="Cambria" w:hAnsi="Cambria" w:asciiTheme="majorHAnsi" w:hAnsiTheme="majorHAnsi"/>
                <w:i w:val="false"/>
                <w:shd w:fill="FFFFFF" w:val="clear"/>
              </w:rPr>
              <w:t>Funzione sessuale e qualità di vita in donne sottoposte a fisioterapia e riabilitazione del pavimento pelvico: studio osservazionale</w:t>
            </w:r>
            <w:r>
              <w:rPr>
                <w:rStyle w:val="Enfasi"/>
                <w:rFonts w:ascii="Cambria" w:hAnsi="Cambria" w:asciiTheme="majorHAnsi" w:hAnsiTheme="majorHAnsi"/>
                <w:shd w:fill="FFFFFF" w:val="clear"/>
              </w:rPr>
              <w:t>”</w:t>
            </w:r>
            <w:r>
              <w:rPr>
                <w:rFonts w:ascii="Cambria" w:hAnsi="Cambria" w:asciiTheme="majorHAnsi" w:hAnsiTheme="majorHAnsi"/>
                <w:shd w:fill="FFFFFF" w:val="clear"/>
              </w:rPr>
              <w:t>, 2014(atti di: 12° Congresso S.I.U.D. per fisioterapisti, infermieri, ostetriche, Milano, 12-14 Giugno 2014) [atti di convegno-poster]</w:t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  <w:shd w:fill="FFFFFF" w:val="clear"/>
              </w:rPr>
            </w:pPr>
            <w:r>
              <w:rPr>
                <w:rFonts w:asciiTheme="majorHAnsi" w:hAnsiTheme="majorHAnsi" w:ascii="Cambria" w:hAnsi="Cambria"/>
                <w:shd w:fill="FFFFFF" w:val="clear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Style w:val="Author"/>
                <w:rFonts w:ascii="Cambria" w:hAnsi="Cambria" w:asciiTheme="majorHAnsi" w:hAnsiTheme="majorHAnsi"/>
                <w:shd w:fill="FFFFFF" w:val="clear"/>
              </w:rPr>
              <w:t>P. Pillastrini; Roberta Bonfiglioli; F. Banchelli; F. Capra; Fernanda De Lima E Sa’ Resende; J.H. Villafane; Carla Vanti; F.S. Violante</w:t>
            </w:r>
            <w:r>
              <w:rPr>
                <w:rFonts w:ascii="Cambria" w:hAnsi="Cambria" w:asciiTheme="majorHAnsi" w:hAnsiTheme="majorHAnsi"/>
                <w:shd w:fill="FFFFFF" w:val="clear"/>
              </w:rPr>
              <w:t>,</w:t>
            </w:r>
            <w:r>
              <w:rPr>
                <w:rStyle w:val="Appleconvertedspace"/>
                <w:rFonts w:ascii="Cambria" w:hAnsi="Cambria" w:asciiTheme="majorHAnsi" w:hAnsiTheme="majorHAnsi"/>
                <w:shd w:fill="FFFFFF" w:val="clear"/>
              </w:rPr>
              <w:t> </w:t>
            </w:r>
            <w:r>
              <w:rPr>
                <w:rStyle w:val="Enfasi"/>
                <w:rFonts w:ascii="Cambria" w:hAnsi="Cambria" w:asciiTheme="majorHAnsi" w:hAnsiTheme="majorHAnsi"/>
                <w:i w:val="false"/>
                <w:shd w:fill="FFFFFF" w:val="clear"/>
              </w:rPr>
              <w:t>The effect of amultimodal group programme in hospital workers with persistent low back pain: a prospective observational study</w:t>
            </w:r>
            <w:r>
              <w:rPr>
                <w:rFonts w:ascii="Cambria" w:hAnsi="Cambria" w:asciiTheme="majorHAnsi" w:hAnsiTheme="majorHAnsi"/>
                <w:shd w:fill="FFFFFF" w:val="clear"/>
              </w:rPr>
              <w:t>, “Medicina del Lavoro”, 2013, 104, pp. 380 - 392 [articolo]</w:t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Corsi di formazione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Corso in “Metodi statistici per l’analisi di dati genetici”, tenuto presso IRST IRCCS Istituto Romagnolo per lo Studio e la Cura dei Tumori (Meldola) nelle date 19-23 maggio 2014, organizzato congiuntamente dal Dipartimento di Statistica, Informatica e Applicazioni dell’Università di Firenze e dal Dipartimento di Scienze Statistiche dell’Università di Bologna.</w:t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Società Scientifiche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Membro della Società Italiana di Biometria</w:t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3685" w:type="dxa"/>
            <w:tcBorders>
              <w:top w:val="nil"/>
              <w:left w:val="nil"/>
              <w:bottom w:val="nil"/>
              <w:insideH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Premi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mbria" w:hAnsi="Cambria" w:asciiTheme="majorHAnsi" w:hAnsiTheme="majorHAnsi"/>
              </w:rPr>
            </w:pPr>
            <w:r>
              <w:rPr>
                <w:rFonts w:ascii="Cambria" w:hAnsi="Cambria" w:asciiTheme="majorHAnsi" w:hAnsiTheme="majorHAnsi"/>
              </w:rPr>
              <w:t>Vincitore del premio SIUD (Società Italiana di Urodinamica) anno 2014 sezione fisioterapisti, infermieri, ostetriche per il lavoro: Bortolami A, Banchelli F, Pillastrini P, Vanti C. “Funzione sessuale e qualità di vita in donne sottoposte a fisioterapia e riabilitazione del pavimento pelvico: studio osservazionale”.</w:t>
            </w:r>
          </w:p>
        </w:tc>
      </w:tr>
    </w:tbl>
    <w:p>
      <w:pPr>
        <w:pStyle w:val="Normal"/>
        <w:spacing w:lineRule="auto" w:line="240"/>
        <w:rPr>
          <w:rFonts w:ascii="Cambria" w:hAnsi="Cambria" w:asciiTheme="majorHAnsi" w:hAnsiTheme="majorHAnsi"/>
        </w:rPr>
      </w:pPr>
      <w:r>
        <w:rPr>
          <w:rFonts w:asciiTheme="majorHAnsi" w:hAnsiTheme="majorHAnsi" w:ascii="Cambria" w:hAnsi="Cambria"/>
        </w:rPr>
      </w:r>
    </w:p>
    <w:p>
      <w:pPr>
        <w:pStyle w:val="Normal"/>
        <w:spacing w:lineRule="auto" w:line="240"/>
        <w:jc w:val="right"/>
        <w:rPr>
          <w:rFonts w:ascii="Cambria" w:hAnsi="Cambria" w:eastAsia="Arial Unicode MS" w:cs="Arial" w:asciiTheme="majorHAnsi" w:hAnsiTheme="majorHAnsi"/>
          <w:bCs/>
        </w:rPr>
      </w:pPr>
      <w:r>
        <w:rPr>
          <w:rFonts w:eastAsia="Arial Unicode MS" w:cs="Arial" w:ascii="Cambria" w:hAnsi="Cambria"/>
          <w:bCs/>
        </w:rPr>
      </w:r>
    </w:p>
    <w:p>
      <w:pPr>
        <w:pStyle w:val="Normal"/>
        <w:spacing w:lineRule="auto" w:line="240"/>
        <w:rPr>
          <w:rFonts w:ascii="Cambria" w:hAnsi="Cambria" w:eastAsia="Arial Unicode MS" w:cs="Arial" w:asciiTheme="majorHAnsi" w:hAnsiTheme="majorHAnsi"/>
          <w:bCs/>
        </w:rPr>
      </w:pPr>
      <w:r>
        <w:rPr>
          <w:rFonts w:eastAsia="Arial Unicode MS" w:cs="Arial" w:ascii="Cambria" w:hAnsi="Cambria"/>
          <w:bCs/>
        </w:rPr>
      </w:r>
    </w:p>
    <w:p>
      <w:pPr>
        <w:pStyle w:val="Normal"/>
        <w:spacing w:lineRule="auto" w:line="240"/>
        <w:rPr>
          <w:rFonts w:ascii="Cambria" w:hAnsi="Cambria" w:eastAsia="Arial Unicode MS" w:cs="Arial" w:asciiTheme="majorHAnsi" w:hAnsiTheme="majorHAnsi"/>
          <w:bCs/>
        </w:rPr>
      </w:pPr>
      <w:r>
        <w:rPr>
          <w:rFonts w:eastAsia="Arial Unicode MS" w:cs="Arial" w:ascii="Cambria" w:hAnsi="Cambria"/>
          <w:bCs/>
        </w:rPr>
      </w:r>
    </w:p>
    <w:p>
      <w:pPr>
        <w:pStyle w:val="Normal"/>
        <w:spacing w:lineRule="auto" w:line="240"/>
        <w:rPr>
          <w:rFonts w:ascii="Cambria" w:hAnsi="Cambria" w:eastAsia="Arial Unicode MS" w:cs="Arial" w:asciiTheme="majorHAnsi" w:hAnsiTheme="majorHAnsi"/>
          <w:bCs/>
        </w:rPr>
      </w:pPr>
      <w:r>
        <w:rPr>
          <w:rFonts w:cs="Arial" w:ascii="Cambria" w:hAnsi="Cambria" w:asciiTheme="majorHAnsi" w:hAnsiTheme="majorHAnsi"/>
          <w:color w:val="222222"/>
          <w:shd w:fill="FFFFFF" w:val="clear"/>
        </w:rPr>
        <w:t>Autorizzo il trattamento dei dati personali contenuti nel mio curriculum vitae in base art. 13 del D. Lgs. 196/2003</w:t>
      </w:r>
    </w:p>
    <w:p>
      <w:pPr>
        <w:pStyle w:val="Normal"/>
        <w:spacing w:lineRule="auto" w:line="240"/>
        <w:rPr>
          <w:rFonts w:ascii="Cambria" w:hAnsi="Cambria" w:eastAsia="Arial Unicode MS" w:cs="Arial" w:asciiTheme="majorHAnsi" w:hAnsiTheme="majorHAnsi"/>
          <w:bCs/>
        </w:rPr>
      </w:pPr>
      <w:r>
        <w:rPr>
          <w:rFonts w:eastAsia="Arial Unicode MS" w:cs="Arial" w:ascii="Cambria" w:hAnsi="Cambria"/>
          <w:bCs/>
        </w:rPr>
      </w:r>
    </w:p>
    <w:p>
      <w:pPr>
        <w:pStyle w:val="Normal"/>
        <w:spacing w:lineRule="auto" w:line="240"/>
        <w:rPr>
          <w:rFonts w:ascii="Cambria" w:hAnsi="Cambria" w:eastAsia="Arial Unicode MS" w:cs="Arial" w:asciiTheme="majorHAnsi" w:hAnsiTheme="majorHAnsi"/>
          <w:bCs/>
        </w:rPr>
      </w:pPr>
      <w:r>
        <w:rPr/>
      </w:r>
    </w:p>
    <w:p>
      <w:pPr>
        <w:pStyle w:val="Normal"/>
        <w:spacing w:lineRule="auto" w:line="240" w:before="0" w:after="200"/>
        <w:rPr/>
      </w:pPr>
      <w:r>
        <w:rPr>
          <w:rFonts w:eastAsia="Arial Unicode MS" w:cs="Arial" w:ascii="Cambria" w:hAnsi="Cambria" w:asciiTheme="majorHAnsi" w:hAnsiTheme="majorHAnsi"/>
          <w:bCs/>
        </w:rPr>
        <w:tab/>
        <w:tab/>
        <w:tab/>
        <w:tab/>
        <w:tab/>
        <w:tab/>
        <w:tab/>
      </w:r>
    </w:p>
    <w:sectPr>
      <w:footerReference w:type="default" r:id="rId2"/>
      <w:type w:val="nextPage"/>
      <w:pgSz w:w="11906" w:h="16838"/>
      <w:pgMar w:left="1134" w:right="1134" w:header="0" w:top="1417" w:footer="1134" w:bottom="119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Cambr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/>
    </w:r>
  </w:p>
  <w:tbl>
    <w:tblPr>
      <w:tblW w:w="7868" w:type="dxa"/>
      <w:jc w:val="left"/>
      <w:tblInd w:w="0" w:type="dxa"/>
      <w:tblBorders>
        <w:right w:val="single" w:sz="4" w:space="0" w:color="00000A"/>
        <w:insideV w:val="single" w:sz="4" w:space="0" w:color="00000A"/>
      </w:tblBorders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2517"/>
      <w:gridCol w:w="5350"/>
    </w:tblGrid>
    <w:tr>
      <w:trPr/>
      <w:tc>
        <w:tcPr>
          <w:tcW w:w="2517" w:type="dxa"/>
          <w:tcBorders>
            <w:right w:val="single" w:sz="4" w:space="0" w:color="00000A"/>
            <w:insideV w:val="single" w:sz="4" w:space="0" w:color="00000A"/>
          </w:tcBorders>
          <w:shd w:fill="auto" w:val="clear"/>
        </w:tcPr>
        <w:p>
          <w:pPr>
            <w:pStyle w:val="Pidipagina"/>
            <w:jc w:val="right"/>
            <w:rPr/>
          </w:pPr>
          <w:r>
            <w:rPr/>
            <w:t xml:space="preserve">Pagina </w:t>
          </w:r>
          <w:r>
            <w:rPr/>
            <w:fldChar w:fldCharType="begin"/>
          </w:r>
          <w:r>
            <w:instrText> PAGE </w:instrText>
          </w:r>
          <w:r>
            <w:fldChar w:fldCharType="separate"/>
          </w:r>
          <w:r>
            <w:t>8</w:t>
          </w:r>
          <w:r>
            <w:fldChar w:fldCharType="end"/>
          </w:r>
        </w:p>
        <w:p>
          <w:pPr>
            <w:pStyle w:val="Pidipagina"/>
            <w:jc w:val="right"/>
            <w:rPr/>
          </w:pPr>
          <w:r>
            <w:rPr/>
            <w:t xml:space="preserve">Curriculum Vitae di </w:t>
          </w:r>
        </w:p>
        <w:p>
          <w:pPr>
            <w:pStyle w:val="Pidipagina"/>
            <w:jc w:val="right"/>
            <w:rPr/>
          </w:pPr>
          <w:r>
            <w:rPr/>
            <w:t>FEDERICO BANCHELLI</w:t>
          </w:r>
        </w:p>
      </w:tc>
      <w:tc>
        <w:tcPr>
          <w:tcW w:w="5350" w:type="dxa"/>
          <w:tcBorders>
            <w:left w:val="single" w:sz="4" w:space="0" w:color="00000A"/>
            <w:right w:val="single" w:sz="4" w:space="0" w:color="00000A"/>
            <w:insideV w:val="single" w:sz="4" w:space="0" w:color="00000A"/>
          </w:tcBorders>
          <w:shd w:fill="auto" w:val="clear"/>
          <w:tcMar>
            <w:left w:w="98" w:type="dxa"/>
          </w:tcMar>
        </w:tcPr>
        <w:p>
          <w:pPr>
            <w:pStyle w:val="Pidipagina"/>
            <w:rPr/>
          </w:pPr>
          <w:r>
            <w:rPr/>
          </w:r>
        </w:p>
        <w:p>
          <w:pPr>
            <w:pStyle w:val="Pidipagina"/>
            <w:rPr/>
          </w:pPr>
          <w:r>
            <w:rPr/>
          </w:r>
        </w:p>
        <w:p>
          <w:pPr>
            <w:pStyle w:val="Pidipagina"/>
            <w:tabs>
              <w:tab w:val="left" w:pos="3215" w:leader="none"/>
              <w:tab w:val="center" w:pos="4819" w:leader="none"/>
              <w:tab w:val="right" w:pos="9638" w:leader="none"/>
            </w:tabs>
            <w:rPr/>
          </w:pPr>
          <w:r>
            <w:rPr/>
          </w:r>
        </w:p>
      </w:tc>
    </w:tr>
    <w:tr>
      <w:trPr/>
      <w:tc>
        <w:tcPr>
          <w:tcW w:w="2517" w:type="dxa"/>
          <w:tcBorders>
            <w:right w:val="single" w:sz="4" w:space="0" w:color="00000A"/>
            <w:insideV w:val="single" w:sz="4" w:space="0" w:color="00000A"/>
          </w:tcBorders>
          <w:shd w:fill="auto" w:val="clear"/>
        </w:tcPr>
        <w:p>
          <w:pPr>
            <w:pStyle w:val="Pidipagina"/>
            <w:jc w:val="center"/>
            <w:rPr/>
          </w:pPr>
          <w:r>
            <w:rPr/>
          </w:r>
        </w:p>
      </w:tc>
      <w:tc>
        <w:tcPr>
          <w:tcW w:w="5350" w:type="dxa"/>
          <w:tcBorders>
            <w:left w:val="single" w:sz="4" w:space="0" w:color="00000A"/>
            <w:right w:val="single" w:sz="4" w:space="0" w:color="00000A"/>
            <w:insideV w:val="single" w:sz="4" w:space="0" w:color="00000A"/>
          </w:tcBorders>
          <w:shd w:fill="auto" w:val="clear"/>
          <w:tcMar>
            <w:left w:w="98" w:type="dxa"/>
          </w:tcMar>
        </w:tcPr>
        <w:p>
          <w:pPr>
            <w:pStyle w:val="Pidipagina"/>
            <w:rPr/>
          </w:pPr>
          <w:r>
            <w:rPr/>
          </w:r>
        </w:p>
      </w:tc>
    </w:tr>
  </w:tbl>
  <w:p>
    <w:pPr>
      <w:pStyle w:val="Pidipagin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6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375fb3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375fb3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75fb3"/>
    <w:rPr>
      <w:rFonts w:ascii="Tahoma" w:hAnsi="Tahoma" w:cs="Tahoma"/>
      <w:sz w:val="16"/>
      <w:szCs w:val="16"/>
    </w:rPr>
  </w:style>
  <w:style w:type="character" w:styleId="CollegamentoInternet">
    <w:name w:val="Collegamento Internet"/>
    <w:basedOn w:val="DefaultParagraphFont"/>
    <w:uiPriority w:val="99"/>
    <w:unhideWhenUsed/>
    <w:rsid w:val="00df0640"/>
    <w:rPr>
      <w:color w:val="0000FF" w:themeColor="hyperlink"/>
      <w:u w:val="single"/>
    </w:rPr>
  </w:style>
  <w:style w:type="character" w:styleId="Author" w:customStyle="1">
    <w:name w:val="author"/>
    <w:basedOn w:val="DefaultParagraphFont"/>
    <w:qFormat/>
    <w:rsid w:val="00fa43f1"/>
    <w:rPr/>
  </w:style>
  <w:style w:type="character" w:styleId="Appleconvertedspace" w:customStyle="1">
    <w:name w:val="apple-converted-space"/>
    <w:basedOn w:val="DefaultParagraphFont"/>
    <w:qFormat/>
    <w:rsid w:val="00fa43f1"/>
    <w:rPr/>
  </w:style>
  <w:style w:type="character" w:styleId="Enfasi">
    <w:name w:val="Enfasi"/>
    <w:basedOn w:val="DefaultParagraphFont"/>
    <w:uiPriority w:val="20"/>
    <w:qFormat/>
    <w:rsid w:val="00fa43f1"/>
    <w:rPr>
      <w:i/>
      <w:iCs/>
    </w:rPr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Intestazione"/>
    <w:basedOn w:val="Normal"/>
    <w:link w:val="IntestazioneCarattere"/>
    <w:uiPriority w:val="99"/>
    <w:unhideWhenUsed/>
    <w:rsid w:val="00375fb3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Piè di pagina"/>
    <w:basedOn w:val="Normal"/>
    <w:link w:val="PidipaginaCarattere"/>
    <w:uiPriority w:val="99"/>
    <w:unhideWhenUsed/>
    <w:rsid w:val="00375fb3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75fb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64ad"/>
    <w:pPr>
      <w:spacing w:before="0" w:after="200"/>
      <w:ind w:left="720" w:hanging="0"/>
      <w:contextualSpacing/>
    </w:pPr>
    <w:rPr/>
  </w:style>
  <w:style w:type="paragraph" w:styleId="OiaeaeiYiio2" w:customStyle="1">
    <w:name w:val="O?ia eaeiYiio 2"/>
    <w:basedOn w:val="Normal"/>
    <w:qFormat/>
    <w:rsid w:val="007164ad"/>
    <w:pPr>
      <w:widowControl w:val="false"/>
      <w:spacing w:lineRule="auto" w:line="240" w:before="0" w:after="0"/>
      <w:jc w:val="right"/>
    </w:pPr>
    <w:rPr>
      <w:rFonts w:ascii="Times New Roman" w:hAnsi="Times New Roman" w:eastAsia="Times New Roman" w:cs="Times New Roman"/>
      <w:i/>
      <w:sz w:val="16"/>
      <w:szCs w:val="20"/>
      <w:lang w:val="en-US" w:eastAsia="it-IT"/>
    </w:rPr>
  </w:style>
  <w:style w:type="paragraph" w:styleId="CVNormal" w:customStyle="1">
    <w:name w:val="CV Normal"/>
    <w:basedOn w:val="Normal"/>
    <w:qFormat/>
    <w:rsid w:val="004e24ac"/>
    <w:pPr>
      <w:suppressAutoHyphens w:val="true"/>
      <w:spacing w:lineRule="auto" w:line="240" w:before="0" w:after="0"/>
      <w:ind w:left="113" w:right="113" w:hanging="0"/>
    </w:pPr>
    <w:rPr>
      <w:rFonts w:ascii="Arial Narrow" w:hAnsi="Arial Narrow" w:eastAsia="Times New Roman" w:cs="Times New Roman"/>
      <w:sz w:val="20"/>
      <w:szCs w:val="20"/>
      <w:lang w:eastAsia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a67a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Sfondochiaro-Colore5">
    <w:name w:val="Light Shading Accent 5"/>
    <w:basedOn w:val="Tabellanormale"/>
    <w:uiPriority w:val="60"/>
    <w:rsid w:val="003a67a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CA255-717D-47D4-8D97-7A6C64EC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LibreOffice/5.1.1.3$Windows_x86 LibreOffice_project/89f508ef3ecebd2cfb8e1def0f0ba9a803b88a6d</Application>
  <Pages>8</Pages>
  <Words>1660</Words>
  <Characters>10581</Characters>
  <CharactersWithSpaces>12053</CharactersWithSpaces>
  <Paragraphs>223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2016-12-06T20:24:00Z</dcterms:created>
  <dc:creator>Federico Banchelli</dc:creator>
  <dc:description/>
  <dc:language>it-IT</dc:language>
  <cp:lastModifiedBy/>
  <cp:lastPrinted>2016-12-06T20:28:00Z</cp:lastPrinted>
  <dcterms:modified xsi:type="dcterms:W3CDTF">2017-02-02T16:04:28Z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