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Aaoeeu"/>
        <w:widowControl/>
        <w:ind w:left="-284" w:hanging="142"/>
        <w:rPr>
          <w:rFonts w:ascii="Arial Narrow" w:hAnsi="Arial Narrow"/>
          <w:lang w:val="it-IT"/>
        </w:rPr>
      </w:pPr>
      <w:r>
        <w:rPr>
          <w:rFonts w:ascii="Arial Narrow" w:hAnsi="Arial Narrow"/>
          <w:lang w:val="it-IT"/>
        </w:rPr>
        <mc:AlternateContent>
          <mc:Choice Requires="wps">
            <w:drawing>
              <wp:anchor behindDoc="1" distT="0" distB="0" distL="114300" distR="114300" simplePos="0" locked="0" layoutInCell="1" allowOverlap="1" relativeHeight="2">
                <wp:simplePos x="0" y="0"/>
                <wp:positionH relativeFrom="page">
                  <wp:posOffset>-819785</wp:posOffset>
                </wp:positionH>
                <wp:positionV relativeFrom="page">
                  <wp:posOffset>4034155</wp:posOffset>
                </wp:positionV>
                <wp:extent cx="6708775" cy="1270"/>
                <wp:effectExtent l="0" t="0" r="0" b="0"/>
                <wp:wrapNone/>
                <wp:docPr id="1" name="Line 2"/>
                <a:graphic xmlns:a="http://schemas.openxmlformats.org/drawingml/2006/main">
                  <a:graphicData uri="http://schemas.microsoft.com/office/word/2010/wordprocessingShape">
                    <wps:wsp>
                      <wps:cNvSpPr/>
                      <wps:spPr>
                        <a:xfrm>
                          <a:off x="0" y="0"/>
                          <a:ext cx="0" cy="955944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199.5pt,53.6pt" to="199.5pt,806.25pt" ID="Line 2" stroked="t" style="position:absolute;mso-position-horizontal-relative:page;mso-position-vertical-relative:page">
                <v:stroke color="black" joinstyle="round" endcap="flat"/>
                <v:fill o:detectmouseclick="t" on="false"/>
              </v:line>
            </w:pict>
          </mc:Fallback>
        </mc:AlternateContent>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pacing w:val="40"/>
                <w:lang w:val="it-IT"/>
              </w:rPr>
            </w:pPr>
            <w:r>
              <w:rPr>
                <w:rFonts w:ascii="Arial Narrow" w:hAnsi="Arial Narrow"/>
                <w:smallCaps/>
                <w:spacing w:val="40"/>
                <w:sz w:val="26"/>
                <w:lang w:val="it-IT"/>
              </w:rPr>
              <w:t>Formato europeo per il curriculum vitae</w:t>
            </w:r>
          </w:p>
          <w:p>
            <w:pPr>
              <w:pStyle w:val="Aaoeeu"/>
              <w:rPr>
                <w:rFonts w:ascii="Arial Narrow" w:hAnsi="Arial Narrow"/>
                <w:lang w:val="it-IT"/>
              </w:rPr>
            </w:pPr>
            <w:r>
              <w:rPr>
                <w:rFonts w:ascii="Arial Narrow" w:hAnsi="Arial Narrow"/>
                <w:lang w:val="it-IT"/>
              </w:rPr>
            </w:r>
          </w:p>
          <w:p>
            <w:pPr>
              <w:pStyle w:val="Aaoeeu"/>
              <w:jc w:val="right"/>
              <w:rPr>
                <w:rFonts w:ascii="Arial Narrow" w:hAnsi="Arial Narrow"/>
                <w:sz w:val="16"/>
                <w:lang w:val="it-IT"/>
              </w:rPr>
            </w:pPr>
            <w:r>
              <w:rPr/>
              <mc:AlternateContent>
                <mc:Choice Requires="wps">
                  <w:drawing>
                    <wp:inline distT="0" distB="0" distL="0" distR="0">
                      <wp:extent cx="362585" cy="248285"/>
                      <wp:effectExtent l="0" t="0" r="0" b="0"/>
                      <wp:docPr id="2" name="Immagine 19"/>
                      <a:graphic xmlns:a="http://schemas.openxmlformats.org/drawingml/2006/main">
                        <a:graphicData uri="http://schemas.openxmlformats.org/drawingml/2006/picture">
                          <pic:pic xmlns:pic="http://schemas.openxmlformats.org/drawingml/2006/picture">
                            <pic:nvPicPr>
                              <pic:cNvPr id="0" name="Immagine 19" descr=""/>
                              <pic:cNvPicPr/>
                            </pic:nvPicPr>
                            <pic:blipFill>
                              <a:blip r:embed="rId2"/>
                              <a:stretch/>
                            </pic:blipFill>
                            <pic:spPr>
                              <a:xfrm>
                                <a:off x="0" y="0"/>
                                <a:ext cx="361800" cy="247680"/>
                              </a:xfrm>
                              <a:prstGeom prst="rect">
                                <a:avLst/>
                              </a:prstGeom>
                              <a:ln>
                                <a:noFill/>
                              </a:ln>
                            </pic:spPr>
                          </pic:pic>
                        </a:graphicData>
                      </a:graphic>
                    </wp:inline>
                  </w:drawing>
                </mc:Choice>
                <mc:Fallback>
                  <w:pict>
                    <v:rect id="shape_0" ID="Immagine 19" stroked="f" style="position:absolute;margin-left:0pt;margin-top:-19.55pt;width:28.45pt;height:19.45pt;mso-position-vertical:top">
                      <v:imagedata r:id="rId2" o:detectmouseclick="t"/>
                      <w10:wrap type="none"/>
                      <v:stroke color="#3465a4" joinstyle="round" endcap="flat"/>
                    </v:rect>
                  </w:pict>
                </mc:Fallback>
              </mc:AlternateContent>
            </w:r>
          </w:p>
        </w:tc>
      </w:tr>
    </w:tbl>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t>Informazioni personali</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Nome</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sz w:val="24"/>
                <w:lang w:val="it-IT"/>
              </w:rPr>
            </w:pPr>
            <w:r>
              <w:rPr>
                <w:rFonts w:ascii="Arial Narrow" w:hAnsi="Arial Narrow"/>
                <w:b/>
                <w:smallCaps/>
                <w:sz w:val="24"/>
                <w:lang w:val="it-IT"/>
              </w:rPr>
              <w:t>Francesca Farnetani</w:t>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Indirizzo</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sz w:val="24"/>
                <w:lang w:val="it-IT"/>
              </w:rPr>
            </w:pPr>
            <w:r>
              <w:rPr>
                <w:rFonts w:ascii="Arial Narrow" w:hAnsi="Arial Narrow"/>
                <w:sz w:val="24"/>
                <w:lang w:val="it-IT"/>
              </w:rPr>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Telefono</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4"/>
                <w:lang w:val="it-IT"/>
              </w:rPr>
            </w:pPr>
            <w:r>
              <w:rPr>
                <w:rFonts w:ascii="Arial Narrow" w:hAnsi="Arial Narrow"/>
                <w:b/>
                <w:sz w:val="24"/>
                <w:lang w:val="it-IT"/>
              </w:rPr>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Fax</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4"/>
                <w:lang w:val="it-IT"/>
              </w:rPr>
            </w:pPr>
            <w:r>
              <w:rPr>
                <w:rFonts w:ascii="Arial Narrow" w:hAnsi="Arial Narrow"/>
                <w:b/>
                <w:sz w:val="24"/>
                <w:lang w:val="it-IT"/>
              </w:rPr>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E-mail</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4"/>
                <w:lang w:val="it-IT"/>
              </w:rPr>
            </w:pPr>
            <w:r>
              <w:rPr>
                <w:rFonts w:ascii="Arial Narrow" w:hAnsi="Arial Narrow"/>
                <w:b/>
                <w:sz w:val="24"/>
                <w:lang w:val="it-IT"/>
              </w:rPr>
            </w:r>
          </w:p>
        </w:tc>
      </w:tr>
    </w:tbl>
    <w:p>
      <w:pPr>
        <w:pStyle w:val="Aaoeeu"/>
        <w:widowControl/>
        <w:spacing w:before="120" w:after="0"/>
        <w:rPr>
          <w:rFonts w:ascii="Arial Narrow" w:hAnsi="Arial Narrow"/>
          <w:sz w:val="16"/>
          <w:lang w:val="it-IT"/>
        </w:rPr>
      </w:pPr>
      <w:r>
        <w:rPr>
          <w:rFonts w:ascii="Arial Narrow" w:hAnsi="Arial Narrow"/>
          <w:sz w:val="16"/>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eeaoaeaa1"/>
              <w:widowControl/>
              <w:spacing w:before="20" w:after="20"/>
              <w:rPr>
                <w:rFonts w:ascii="Arial Narrow" w:hAnsi="Arial Narrow"/>
                <w:b w:val="false"/>
                <w:b w:val="false"/>
                <w:lang w:val="it-IT"/>
              </w:rPr>
            </w:pPr>
            <w:r>
              <w:rPr>
                <w:rFonts w:ascii="Arial Narrow" w:hAnsi="Arial Narrow"/>
                <w:b w:val="false"/>
                <w:lang w:val="it-IT"/>
              </w:rPr>
              <w:t>Nazionalità</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Italiana</w:t>
            </w:r>
          </w:p>
        </w:tc>
      </w:tr>
    </w:tbl>
    <w:p>
      <w:pPr>
        <w:pStyle w:val="Aaoeeu"/>
        <w:widowControl/>
        <w:spacing w:before="20" w:after="20"/>
        <w:rPr>
          <w:rFonts w:ascii="Arial Narrow" w:hAnsi="Arial Narrow"/>
          <w:sz w:val="10"/>
          <w:lang w:val="it-IT"/>
        </w:rPr>
      </w:pPr>
      <w:r>
        <w:rPr>
          <w:rFonts w:ascii="Arial Narrow" w:hAnsi="Arial Narrow"/>
          <w:sz w:val="10"/>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eeaoaeaa1"/>
              <w:widowControl/>
              <w:spacing w:before="20" w:after="20"/>
              <w:rPr>
                <w:rFonts w:ascii="Arial Narrow" w:hAnsi="Arial Narrow"/>
                <w:lang w:val="it-IT"/>
              </w:rPr>
            </w:pPr>
            <w:r>
              <w:rPr>
                <w:rFonts w:ascii="Arial Narrow" w:hAnsi="Arial Narrow"/>
                <w:b w:val="false"/>
                <w:lang w:val="it-IT"/>
              </w:rPr>
              <w:t>Data di nascita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smallCaps/>
                <w:lang w:val="it-IT"/>
              </w:rPr>
              <w:t xml:space="preserve">15 novembre 1978 </w:t>
            </w:r>
          </w:p>
        </w:tc>
      </w:tr>
    </w:tbl>
    <w:p>
      <w:pPr>
        <w:pStyle w:val="Aaoeeu"/>
        <w:widowControl/>
        <w:spacing w:before="20" w:after="20"/>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p>
      <w:pPr>
        <w:pStyle w:val="Aeeaoaeaa1"/>
        <w:widowControl/>
        <w:rPr>
          <w:rFonts w:ascii="Arial Narrow" w:hAnsi="Arial Narrow"/>
          <w:smallCaps/>
          <w:sz w:val="24"/>
          <w:lang w:val="it-IT"/>
        </w:rPr>
      </w:pPr>
      <w:r>
        <w:rPr>
          <w:rFonts w:ascii="Arial Narrow" w:hAnsi="Arial Narrow"/>
          <w:smallCaps/>
          <w:sz w:val="24"/>
          <w:lang w:val="it-IT"/>
        </w:rPr>
      </w:r>
      <w:r>
        <mc:AlternateContent>
          <mc:Choice Requires="wps">
            <w:drawing>
              <wp:anchor behindDoc="0" distT="0" distB="0" distL="89535" distR="89535" simplePos="0" locked="0" layoutInCell="1" allowOverlap="1" relativeHeight="8">
                <wp:simplePos x="0" y="0"/>
                <wp:positionH relativeFrom="margin">
                  <wp:posOffset>-68580</wp:posOffset>
                </wp:positionH>
                <wp:positionV relativeFrom="paragraph">
                  <wp:posOffset>-165735</wp:posOffset>
                </wp:positionV>
                <wp:extent cx="1868805" cy="194310"/>
                <wp:effectExtent l="0" t="0" r="0" b="0"/>
                <wp:wrapSquare wrapText="bothSides"/>
                <wp:docPr id="3" name="Cornice1"/>
                <a:graphic xmlns:a="http://schemas.openxmlformats.org/drawingml/2006/main">
                  <a:graphicData uri="http://schemas.microsoft.com/office/word/2010/wordprocessingShape">
                    <wps:wsp>
                      <wps:cNvSpPr txBox="1"/>
                      <wps:spPr>
                        <a:xfrm>
                          <a:off x="0" y="0"/>
                          <a:ext cx="1868805" cy="194310"/>
                        </a:xfrm>
                        <a:prstGeom prst="rect"/>
                      </wps:spPr>
                      <wps:txbx>
                        <w:txbxContent>
                          <w:tbl>
                            <w:tblPr>
                              <w:tblpPr w:bottomFromText="0" w:horzAnchor="margin" w:leftFromText="141" w:rightFromText="141" w:tblpX="0" w:tblpY="-261" w:topFromText="0" w:vertAnchor="text"/>
                              <w:tblW w:w="2943" w:type="dxa"/>
                              <w:jc w:val="left"/>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100" w:type="dxa"/>
                                <w:bottom w:w="0" w:type="dxa"/>
                                <w:right w:w="108" w:type="dxa"/>
                              </w:tblCellMar>
                              <w:tblLook w:val="0000"/>
                            </w:tblPr>
                            <w:tblGrid>
                              <w:gridCol w:w="2943"/>
                            </w:tblGrid>
                            <w:tr>
                              <w:trPr/>
                              <w:tc>
                                <w:tcPr>
                                  <w:tcW w:w="29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100" w:type="dxa"/>
                                  </w:tcMar>
                                </w:tcPr>
                                <w:p>
                                  <w:pPr>
                                    <w:pStyle w:val="Aeeaoaeaa1"/>
                                    <w:widowControl/>
                                    <w:jc w:val="left"/>
                                    <w:rPr/>
                                  </w:pPr>
                                  <w:r>
                                    <w:rPr>
                                      <w:rFonts w:ascii="Arial Narrow" w:hAnsi="Arial Narrow"/>
                                      <w:smallCaps/>
                                      <w:sz w:val="24"/>
                                      <w:lang w:val="it-IT"/>
                                    </w:rPr>
                                    <w:t>Istruzione e formazione</w:t>
                                  </w:r>
                                </w:p>
                              </w:tc>
                            </w:tr>
                          </w:tbl>
                        </w:txbxContent>
                      </wps:txbx>
                      <wps:bodyPr anchor="t" lIns="0" tIns="0" rIns="0" bIns="0">
                        <a:spAutoFit/>
                      </wps:bodyPr>
                    </wps:wsp>
                  </a:graphicData>
                </a:graphic>
              </wp:anchor>
            </w:drawing>
          </mc:Choice>
          <mc:Fallback>
            <w:pict>
              <v:rect style="position:absolute;rotation:0;width:147.15pt;height:15.3pt;mso-wrap-distance-left:7.05pt;mso-wrap-distance-right:7.05pt;mso-wrap-distance-top:0pt;mso-wrap-distance-bottom:0pt;margin-top:-13.05pt;mso-position-vertical-relative:text;margin-left:-5.4pt;mso-position-horizontal-relative:margin">
                <v:textbox inset="0in,0in,0in,0in">
                  <w:txbxContent>
                    <w:tbl>
                      <w:tblPr>
                        <w:tblpPr w:bottomFromText="0" w:horzAnchor="margin" w:leftFromText="141" w:rightFromText="141" w:tblpX="0" w:tblpY="-261" w:topFromText="0" w:vertAnchor="text"/>
                        <w:tblW w:w="2943" w:type="dxa"/>
                        <w:jc w:val="left"/>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100" w:type="dxa"/>
                          <w:bottom w:w="0" w:type="dxa"/>
                          <w:right w:w="108" w:type="dxa"/>
                        </w:tblCellMar>
                        <w:tblLook w:val="0000"/>
                      </w:tblPr>
                      <w:tblGrid>
                        <w:gridCol w:w="2943"/>
                      </w:tblGrid>
                      <w:tr>
                        <w:trPr/>
                        <w:tc>
                          <w:tcPr>
                            <w:tcW w:w="29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100" w:type="dxa"/>
                            </w:tcMar>
                          </w:tcPr>
                          <w:p>
                            <w:pPr>
                              <w:pStyle w:val="Aeeaoaeaa1"/>
                              <w:widowControl/>
                              <w:jc w:val="left"/>
                              <w:rPr/>
                            </w:pPr>
                            <w:r>
                              <w:rPr>
                                <w:rFonts w:ascii="Arial Narrow" w:hAnsi="Arial Narrow"/>
                                <w:smallCaps/>
                                <w:sz w:val="24"/>
                                <w:lang w:val="it-IT"/>
                              </w:rPr>
                              <w:t>Istruzione e formazione</w:t>
                            </w:r>
                          </w:p>
                        </w:tc>
                      </w:tr>
                    </w:tbl>
                  </w:txbxContent>
                </v:textbox>
                <w10:wrap type="square"/>
              </v:rect>
            </w:pict>
          </mc:Fallback>
        </mc:AlternateContent>
      </w:r>
    </w:p>
    <w:p>
      <w:pPr>
        <w:pStyle w:val="OiaeaeiYiio2"/>
        <w:widowControl/>
        <w:spacing w:before="20" w:after="20"/>
        <w:jc w:val="left"/>
        <w:rPr>
          <w:rFonts w:ascii="Arial Narrow" w:hAnsi="Arial Narrow"/>
          <w:i w:val="false"/>
          <w:i w:val="false"/>
          <w:sz w:val="18"/>
          <w:lang w:val="it-IT"/>
        </w:rPr>
      </w:pPr>
      <w:r>
        <w:rPr>
          <w:rFonts w:ascii="Arial Narrow" w:hAnsi="Arial Narrow"/>
          <w:i w:val="false"/>
          <w:sz w:val="18"/>
          <w:lang w:val="it-IT"/>
        </w:rPr>
      </w:r>
    </w:p>
    <w:p>
      <w:pPr>
        <w:pStyle w:val="Aaoeeu"/>
        <w:widowControl/>
        <w:spacing w:before="20" w:after="20"/>
        <w:rPr>
          <w:rFonts w:ascii="Arial Narrow" w:hAnsi="Arial Narrow"/>
          <w:lang w:val="it-IT"/>
        </w:rPr>
      </w:pPr>
      <w:r>
        <w:rPr>
          <w:rFonts w:ascii="Arial Narrow" w:hAnsi="Arial Narrow"/>
          <w:lang w:val="it-IT"/>
        </w:rPr>
      </w:r>
    </w:p>
    <w:p>
      <w:pPr>
        <w:pStyle w:val="Normal"/>
        <w:numPr>
          <w:ilvl w:val="0"/>
          <w:numId w:val="2"/>
        </w:numPr>
        <w:jc w:val="both"/>
        <w:rPr>
          <w:rFonts w:ascii="Arial Narrow" w:hAnsi="Arial Narrow"/>
        </w:rPr>
      </w:pPr>
      <w:r>
        <w:rPr>
          <w:rFonts w:ascii="Arial Narrow" w:hAnsi="Arial Narrow"/>
        </w:rPr>
        <w:t xml:space="preserve">1997: Diploma di maturità scientifica  presso il  liceo scientifico F Redi di Arezzo  con il punteggio di 45\60 </w:t>
      </w:r>
    </w:p>
    <w:p>
      <w:pPr>
        <w:pStyle w:val="OiaeaeiYiio2"/>
        <w:widowControl/>
        <w:spacing w:before="20" w:after="20"/>
        <w:ind w:left="720" w:hanging="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ind w:left="720" w:hanging="0"/>
        <w:jc w:val="both"/>
        <w:rPr>
          <w:rFonts w:ascii="Arial Narrow" w:hAnsi="Arial Narrow"/>
          <w:i w:val="false"/>
          <w:i w:val="false"/>
          <w:sz w:val="20"/>
          <w:lang w:val="it-IT"/>
        </w:rPr>
      </w:pPr>
      <w:r>
        <w:rPr>
          <w:rFonts w:ascii="Arial Narrow" w:hAnsi="Arial Narrow"/>
          <w:i w:val="false"/>
          <w:sz w:val="20"/>
          <w:lang w:val="it-IT"/>
        </w:rPr>
      </w:r>
    </w:p>
    <w:p>
      <w:pPr>
        <w:pStyle w:val="Normal"/>
        <w:numPr>
          <w:ilvl w:val="0"/>
          <w:numId w:val="2"/>
        </w:numPr>
        <w:jc w:val="both"/>
        <w:rPr>
          <w:rFonts w:ascii="Arial Narrow" w:hAnsi="Arial Narrow"/>
        </w:rPr>
      </w:pPr>
      <w:r>
        <w:rPr>
          <w:rFonts w:ascii="Arial Narrow" w:hAnsi="Arial Narrow"/>
        </w:rPr>
        <w:t>20 Marzo 2006: Laurea in Medicina e Chirurgia conseguita presso Università di Firenze con il punteggio di 105/110</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ListParagraph"/>
        <w:numPr>
          <w:ilvl w:val="0"/>
          <w:numId w:val="2"/>
        </w:numPr>
        <w:jc w:val="both"/>
        <w:rPr>
          <w:rFonts w:ascii="Arial Narrow" w:hAnsi="Arial Narrow"/>
        </w:rPr>
      </w:pPr>
      <w:r>
        <w:rPr>
          <w:rFonts w:ascii="Arial Narrow" w:hAnsi="Arial Narrow"/>
        </w:rPr>
        <w:t xml:space="preserve">Luglio 2006: Abilitazione all'esercizio della professione medica mediante esame di Stato e iscrizione all’albo dei medici di Arezzo </w:t>
      </w:r>
    </w:p>
    <w:p>
      <w:pPr>
        <w:pStyle w:val="ListParagraph"/>
        <w:jc w:val="both"/>
        <w:rPr>
          <w:rFonts w:ascii="Arial Narrow" w:hAnsi="Arial Narrow"/>
          <w:i/>
          <w:i/>
        </w:rPr>
      </w:pPr>
      <w:r>
        <w:rPr>
          <w:rFonts w:ascii="Arial Narrow" w:hAnsi="Arial Narrow"/>
          <w:i/>
        </w:rPr>
      </w:r>
    </w:p>
    <w:p>
      <w:pPr>
        <w:pStyle w:val="ListParagraph"/>
        <w:jc w:val="both"/>
        <w:rPr>
          <w:rFonts w:ascii="Arial Narrow" w:hAnsi="Arial Narrow"/>
          <w:i/>
          <w:i/>
        </w:rPr>
      </w:pPr>
      <w:r>
        <w:rPr>
          <w:rFonts w:ascii="Arial Narrow" w:hAnsi="Arial Narrow"/>
          <w:i/>
        </w:rPr>
      </w:r>
    </w:p>
    <w:p>
      <w:pPr>
        <w:pStyle w:val="ListParagraph"/>
        <w:numPr>
          <w:ilvl w:val="0"/>
          <w:numId w:val="2"/>
        </w:numPr>
        <w:jc w:val="both"/>
        <w:rPr>
          <w:rFonts w:ascii="Arial Narrow" w:hAnsi="Arial Narrow"/>
        </w:rPr>
      </w:pPr>
      <w:r>
        <w:rPr>
          <w:rFonts w:ascii="Arial Narrow" w:hAnsi="Arial Narrow"/>
        </w:rPr>
        <w:t xml:space="preserve">17 Marzo  2012 conseguimento della Specializzazione in Dermatologia e Venereologia presso l'Università di Modena e Reggio Emilia con voto 110/110 </w:t>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OiaeaeiYiio2"/>
        <w:widowControl/>
        <w:spacing w:before="20" w:after="20"/>
        <w:ind w:left="720" w:hanging="0"/>
        <w:jc w:val="left"/>
        <w:rPr>
          <w:rFonts w:ascii="Arial Narrow" w:hAnsi="Arial Narrow"/>
          <w:i w:val="false"/>
          <w:i w:val="false"/>
          <w:sz w:val="20"/>
          <w:lang w:val="it-IT"/>
        </w:rPr>
      </w:pPr>
      <w:r>
        <w:rPr>
          <w:rFonts w:ascii="Arial Narrow" w:hAnsi="Arial Narrow"/>
          <w:i w:val="false"/>
          <w:sz w:val="20"/>
          <w:lang w:val="it-IT"/>
        </w:rPr>
      </w:r>
    </w:p>
    <w:p>
      <w:pPr>
        <w:pStyle w:val="Aeeaoaeaa1"/>
        <w:widowControl/>
        <w:spacing w:before="20" w:after="20"/>
        <w:rPr>
          <w:lang w:val="it-IT"/>
        </w:rPr>
      </w:pPr>
      <w:r>
        <w:rPr>
          <w:lang w:val="it-IT"/>
        </w:rPr>
      </w:r>
      <w:r>
        <mc:AlternateContent>
          <mc:Choice Requires="wps">
            <w:drawing>
              <wp:anchor behindDoc="0" distT="0" distB="0" distL="89535" distR="89535" simplePos="0" locked="0" layoutInCell="1" allowOverlap="1" relativeHeight="9">
                <wp:simplePos x="0" y="0"/>
                <wp:positionH relativeFrom="margin">
                  <wp:posOffset>-68580</wp:posOffset>
                </wp:positionH>
                <wp:positionV relativeFrom="paragraph">
                  <wp:posOffset>-165735</wp:posOffset>
                </wp:positionV>
                <wp:extent cx="1868805" cy="194310"/>
                <wp:effectExtent l="0" t="0" r="0" b="0"/>
                <wp:wrapSquare wrapText="bothSides"/>
                <wp:docPr id="4" name="Cornice2"/>
                <a:graphic xmlns:a="http://schemas.openxmlformats.org/drawingml/2006/main">
                  <a:graphicData uri="http://schemas.microsoft.com/office/word/2010/wordprocessingShape">
                    <wps:wsp>
                      <wps:cNvSpPr txBox="1"/>
                      <wps:spPr>
                        <a:xfrm>
                          <a:off x="0" y="0"/>
                          <a:ext cx="1868805" cy="194310"/>
                        </a:xfrm>
                        <a:prstGeom prst="rect"/>
                      </wps:spPr>
                      <wps:txbx>
                        <w:txbxContent>
                          <w:tbl>
                            <w:tblPr>
                              <w:tblpPr w:bottomFromText="0" w:horzAnchor="margin" w:leftFromText="141" w:rightFromText="141" w:tblpX="0" w:tblpY="-261" w:topFromText="0" w:vertAnchor="text"/>
                              <w:tblW w:w="2943" w:type="dxa"/>
                              <w:jc w:val="left"/>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100" w:type="dxa"/>
                                <w:bottom w:w="0" w:type="dxa"/>
                                <w:right w:w="108" w:type="dxa"/>
                              </w:tblCellMar>
                              <w:tblLook w:val="0000"/>
                            </w:tblPr>
                            <w:tblGrid>
                              <w:gridCol w:w="2943"/>
                            </w:tblGrid>
                            <w:tr>
                              <w:trPr/>
                              <w:tc>
                                <w:tcPr>
                                  <w:tcW w:w="29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100" w:type="dxa"/>
                                  </w:tcMar>
                                </w:tcPr>
                                <w:p>
                                  <w:pPr>
                                    <w:pStyle w:val="Aeeaoaeaa1"/>
                                    <w:widowControl/>
                                    <w:jc w:val="left"/>
                                    <w:rPr/>
                                  </w:pPr>
                                  <w:r>
                                    <w:rPr>
                                      <w:rFonts w:ascii="Arial Narrow" w:hAnsi="Arial Narrow"/>
                                      <w:smallCaps/>
                                      <w:sz w:val="24"/>
                                      <w:lang w:val="it-IT"/>
                                    </w:rPr>
                                    <w:t>E</w:t>
                                  </w:r>
                                  <w:r>
                                    <w:rPr>
                                      <w:rFonts w:ascii="Arial Narrow" w:hAnsi="Arial Narrow"/>
                                      <w:smallCaps/>
                                      <w:lang w:val="it-IT"/>
                                    </w:rPr>
                                    <w:t>SPERIENZA</w:t>
                                  </w:r>
                                  <w:r>
                                    <w:rPr>
                                      <w:rFonts w:ascii="Arial Narrow" w:hAnsi="Arial Narrow"/>
                                      <w:smallCaps/>
                                      <w:sz w:val="24"/>
                                      <w:lang w:val="it-IT"/>
                                    </w:rPr>
                                    <w:t xml:space="preserve"> L</w:t>
                                  </w:r>
                                  <w:r>
                                    <w:rPr>
                                      <w:rFonts w:ascii="Arial Narrow" w:hAnsi="Arial Narrow"/>
                                      <w:smallCaps/>
                                      <w:lang w:val="it-IT"/>
                                    </w:rPr>
                                    <w:t>AVORATIVA</w:t>
                                  </w:r>
                                </w:p>
                              </w:tc>
                            </w:tr>
                          </w:tbl>
                        </w:txbxContent>
                      </wps:txbx>
                      <wps:bodyPr anchor="t" lIns="0" tIns="0" rIns="0" bIns="0">
                        <a:spAutoFit/>
                      </wps:bodyPr>
                    </wps:wsp>
                  </a:graphicData>
                </a:graphic>
              </wp:anchor>
            </w:drawing>
          </mc:Choice>
          <mc:Fallback>
            <w:pict>
              <v:rect style="position:absolute;rotation:0;width:147.15pt;height:15.3pt;mso-wrap-distance-left:7.05pt;mso-wrap-distance-right:7.05pt;mso-wrap-distance-top:0pt;mso-wrap-distance-bottom:0pt;margin-top:-13.05pt;mso-position-vertical-relative:text;margin-left:-5.4pt;mso-position-horizontal-relative:margin">
                <v:textbox inset="0in,0in,0in,0in">
                  <w:txbxContent>
                    <w:tbl>
                      <w:tblPr>
                        <w:tblpPr w:bottomFromText="0" w:horzAnchor="margin" w:leftFromText="141" w:rightFromText="141" w:tblpX="0" w:tblpY="-261" w:topFromText="0" w:vertAnchor="text"/>
                        <w:tblW w:w="2943" w:type="dxa"/>
                        <w:jc w:val="left"/>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100" w:type="dxa"/>
                          <w:bottom w:w="0" w:type="dxa"/>
                          <w:right w:w="108" w:type="dxa"/>
                        </w:tblCellMar>
                        <w:tblLook w:val="0000"/>
                      </w:tblPr>
                      <w:tblGrid>
                        <w:gridCol w:w="2943"/>
                      </w:tblGrid>
                      <w:tr>
                        <w:trPr/>
                        <w:tc>
                          <w:tcPr>
                            <w:tcW w:w="29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100" w:type="dxa"/>
                            </w:tcMar>
                          </w:tcPr>
                          <w:p>
                            <w:pPr>
                              <w:pStyle w:val="Aeeaoaeaa1"/>
                              <w:widowControl/>
                              <w:jc w:val="left"/>
                              <w:rPr/>
                            </w:pPr>
                            <w:r>
                              <w:rPr>
                                <w:rFonts w:ascii="Arial Narrow" w:hAnsi="Arial Narrow"/>
                                <w:smallCaps/>
                                <w:sz w:val="24"/>
                                <w:lang w:val="it-IT"/>
                              </w:rPr>
                              <w:t>E</w:t>
                            </w:r>
                            <w:r>
                              <w:rPr>
                                <w:rFonts w:ascii="Arial Narrow" w:hAnsi="Arial Narrow"/>
                                <w:smallCaps/>
                                <w:lang w:val="it-IT"/>
                              </w:rPr>
                              <w:t>SPERIENZA</w:t>
                            </w:r>
                            <w:r>
                              <w:rPr>
                                <w:rFonts w:ascii="Arial Narrow" w:hAnsi="Arial Narrow"/>
                                <w:smallCaps/>
                                <w:sz w:val="24"/>
                                <w:lang w:val="it-IT"/>
                              </w:rPr>
                              <w:t xml:space="preserve"> L</w:t>
                            </w:r>
                            <w:r>
                              <w:rPr>
                                <w:rFonts w:ascii="Arial Narrow" w:hAnsi="Arial Narrow"/>
                                <w:smallCaps/>
                                <w:lang w:val="it-IT"/>
                              </w:rPr>
                              <w:t>AVORATIVA</w:t>
                            </w:r>
                          </w:p>
                        </w:tc>
                      </w:tr>
                    </w:tbl>
                  </w:txbxContent>
                </v:textbox>
                <w10:wrap type="square"/>
              </v:rect>
            </w:pict>
          </mc:Fallback>
        </mc:AlternateContent>
      </w:r>
    </w:p>
    <w:p>
      <w:pPr>
        <w:pStyle w:val="Aaoeeu"/>
        <w:widowControl/>
        <w:spacing w:before="20" w:after="20"/>
        <w:jc w:val="right"/>
        <w:rPr>
          <w:rFonts w:ascii="Arial Narrow" w:hAnsi="Arial Narrow"/>
          <w:lang w:val="it-IT"/>
        </w:rPr>
      </w:pPr>
      <w:r>
        <w:rPr>
          <w:rFonts w:ascii="Arial Narrow" w:hAnsi="Arial Narrow"/>
          <w:lang w:val="it-IT"/>
        </w:rPr>
        <mc:AlternateContent>
          <mc:Choice Requires="wps">
            <w:drawing>
              <wp:anchor behindDoc="1" distT="0" distB="0" distL="114300" distR="114300" simplePos="0" locked="0" layoutInCell="1" allowOverlap="1" relativeHeight="4">
                <wp:simplePos x="0" y="0"/>
                <wp:positionH relativeFrom="page">
                  <wp:posOffset>-3214370</wp:posOffset>
                </wp:positionH>
                <wp:positionV relativeFrom="page">
                  <wp:posOffset>3244215</wp:posOffset>
                </wp:positionV>
                <wp:extent cx="6708775" cy="1270"/>
                <wp:effectExtent l="0" t="0" r="0" b="0"/>
                <wp:wrapNone/>
                <wp:docPr id="5" name="Line 4"/>
                <a:graphic xmlns:a="http://schemas.openxmlformats.org/drawingml/2006/main">
                  <a:graphicData uri="http://schemas.microsoft.com/office/word/2010/wordprocessingShape">
                    <wps:wsp>
                      <wps:cNvSpPr/>
                      <wps:spPr>
                        <a:xfrm>
                          <a:off x="0" y="0"/>
                          <a:ext cx="0" cy="955944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10.95pt,-8.6pt" to="10.95pt,744.05pt" ID="Line 4" stroked="t" style="position:absolute;mso-position-horizontal-relative:page;mso-position-vertical-relative:page">
                <v:stroke color="black" joinstyle="round" endcap="flat"/>
                <v:fill o:detectmouseclick="t" on="false"/>
              </v:line>
            </w:pict>
          </mc:Fallback>
        </mc:AlternateConten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xml:space="preserve">Medico a contratto in formazione specialistica in Dermatologia e Venereologia presso l’Azienda Ospedaliero - Universitaria di Modena Policlinico dal marzo  2008 al marzo  2012 durante i quali ha prestato servizio </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presso il reparto di degenza seguendo pazienti affetti da malattie croniche (psoriasi, pemfigo, pemfigoide, epidermolisi bollosa, dermatite atopica) ma anche ustionati e pazienti con melanoma in terapia adiuvante;</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presso il Day Hospital occupandosi di pazienti in follow up per pregresso melanoma in stadio avanzato, Infusione di infliximab in pz con psoriasi grave; terapia fotodinamica per il trattamento di tumori cutanei e test allergologici a farmaci;</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xml:space="preserve">- presso il servizio di video microscopia per la diagnosi precoce dei tumori della cute </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presso la sala operatoria eseguendo in qualità di chirurgo  interventi utilizzando anche tecniche di ricostruzione plastica (lembi di avanzamento, lembi di rotazione, innesti liberi) (vedi allegato);</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presso l’ambulatorio pomeridiano dedicato ai pazienti affetti da psoriasi severa;</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presso l’ambulatorio di allergologia, ambulatorio dermatologico divisionale, ambulatorio di malattie a trasmissione sessuale, ambulatorio ferite difficili (utilizzando sia medicazioni tradizionali che avanzate), ambulatorio piccole medicazioni (eseguendo biopsie, shaving, diatermocoagulazioni, asportazioni di condilomi, crioterapia).</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Dal 2008 svolge attività di ricerca sul Melanoma e sulla diagnostica precoce non invasiva dei tumori cutanei. Partecipa all’impiego del microscopio laser confocale, strumento innovativo che consente di osservare aspetti cito-architetturali delle lesioni melanocitarie ad una risoluzione pressoché istologica, permettendo così la diagnosi differenziale tra lesioni benigne e maligne. In questo ambito ha contribuito attivamente alla pubblicazione di diversi lavori scientifici, nazionali e internazionali.</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Ha partecipato come coinstigator allo studio “ caratterizzazione biologica del melanoma attraverso  l’integrazione di metodiche di imaging clinico e di biologia molecolare  per l’identificazione  di biomarcatori prognostici e bersagli terapeutici. Prat 4\2009.clinica dermatologica, Univeristà di Modena  e Reggio Emilia</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Normal"/>
        <w:rPr>
          <w:rStyle w:val="BookTitle"/>
        </w:rPr>
      </w:pPr>
      <w:r>
        <w:rPr>
          <w:rFonts w:ascii="Arial Narrow" w:hAnsi="Arial Narrow"/>
          <w:i/>
        </w:rPr>
        <w:t xml:space="preserve">Partecipa  come coinvestigator  allo studio </w:t>
      </w:r>
      <w:r>
        <w:rPr/>
        <w:t xml:space="preserve"> “integrazione  di metodiche di imaging clinico, di analisi molecolare e genetica  per la caratterizzazione di sottotipi di melanoma , per il miglioramento  diagnostico, per la valutazione della aggressività biologica e per l’identificazione  di fattori predittivi di prognosi  Prat 289\13 clinica dermatologica , Università di Modena  e Reggio Emilia</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Ha partecipato come coinvestigator allo STUDIO LEO Pharma LP0041-64 per lo studio di Picato , farmaco topico per il trattamento delle cheratosi attiniche Clinica dermatologica Università di Modena  e Reggio Emilia.</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Partecipa come coinvestigator allo studio  “ruolo prognostico del follow up del melanoma. Uno studio  prospettico randomizzato” Prat  160\13 Clinica dermatologica università di Modena  e Reggio Emilia IMI-D-001-2012</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 xml:space="preserve">Partecipa come coinvestigator allo studio  </w:t>
      </w:r>
      <w:r>
        <w:rPr>
          <w:rFonts w:ascii="Arial Narrow" w:hAnsi="Arial Narrow"/>
          <w:i w:val="false"/>
          <w:sz w:val="20"/>
        </w:rPr>
        <w:t>Utilizzo di diagnostica non invasiva di II-III livello per la diagnosi precoce di tumori cutanei all’interno di una rete ospedaliera per un miglioramento della pratica clinica dal punto di vista terapeutico ed economico-gestionale prat  67\14, Clinica dermatologica  Universita di Modena  e Reggio –emilia.</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Dal 16 Luglio 2012 al 15 Luglio 2013 assegno di ricerca “psoriasi e rischio tumori cutanei. Valutazione del fenotipo e delle alterazioni epidermiche mediante dermoscopia  emicroscopia laser confocale.S.S.D MED 35 (malattie cutanee e veneree), presso il dipartimento Chirurgico, medico, odontoiatrico, e di scienze morfologiche con indirizzo trapiantologico, oncologico e di medicina rigenerativa dell’università di Modena  e Reggio Emilia</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t xml:space="preserve">Dal 16 Ottobre 2013 al 15 ottobre 2014 assogno di ricerca “psoriasi, infiamamzione e tumori cutanei. Studio morfologico  mediante dermoscopia e microscopia laser  confocale  S.S.D MED 35 (malattie cutanee e veneree), presso il dipartimento Chirurgico, medico, odontoiatrico, e di scienze morfologiche con indirizzo trapiantologico, oncologico e di medicina rigenerativa dell’università di Modena  e Reggio Emilia, rinnovato in data 16\10\2014 e tutt’ora in corso </w:t>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jc w:val="left"/>
        <w:rPr>
          <w:rFonts w:ascii="Arial Narrow" w:hAnsi="Arial Narrow"/>
          <w:b/>
          <w:b/>
          <w:i w:val="false"/>
          <w:i w:val="false"/>
          <w:sz w:val="24"/>
          <w:szCs w:val="24"/>
          <w:lang w:val="it-IT"/>
        </w:rPr>
      </w:pPr>
      <w:r>
        <w:rPr>
          <w:rFonts w:ascii="Arial Narrow" w:hAnsi="Arial Narrow"/>
          <w:b/>
          <w:i w:val="false"/>
          <w:sz w:val="24"/>
          <w:szCs w:val="24"/>
          <w:lang w:val="it-IT"/>
        </w:rPr>
        <w:t>Ulteriori informazioni</w:t>
      </w:r>
    </w:p>
    <w:p>
      <w:pPr>
        <w:pStyle w:val="OiaeaeiYiio2"/>
        <w:jc w:val="left"/>
        <w:rPr>
          <w:rFonts w:ascii="Arial Narrow" w:hAnsi="Arial Narrow"/>
          <w:b/>
          <w:b/>
          <w:i w:val="false"/>
          <w:i w:val="false"/>
          <w:sz w:val="18"/>
          <w:szCs w:val="18"/>
          <w:lang w:val="it-IT"/>
        </w:rPr>
      </w:pPr>
      <w:r>
        <w:rPr>
          <w:rFonts w:ascii="Arial Narrow" w:hAnsi="Arial Narrow"/>
          <w:b/>
          <w:i w:val="false"/>
          <w:sz w:val="18"/>
          <w:szCs w:val="18"/>
          <w:lang w:val="it-IT"/>
        </w:rPr>
        <w:t>(pubblicazioni scientifiche, corsi e congressi)</w:t>
      </w:r>
    </w:p>
    <w:p>
      <w:pPr>
        <w:pStyle w:val="Aaoeeu"/>
        <w:widowControl/>
        <w:spacing w:before="20" w:after="20"/>
        <w:rPr>
          <w:rFonts w:ascii="Arial Narrow" w:hAnsi="Arial Narrow"/>
          <w:lang w:val="it-IT"/>
        </w:rPr>
      </w:pPr>
      <w:r>
        <w:rPr>
          <w:rFonts w:ascii="Arial Narrow" w:hAnsi="Arial Narrow"/>
          <w:lang w:val="it-IT"/>
        </w:rPr>
        <mc:AlternateContent>
          <mc:Choice Requires="wps">
            <w:drawing>
              <wp:anchor behindDoc="1" distT="0" distB="0" distL="114300" distR="114300" simplePos="0" locked="0" layoutInCell="1" allowOverlap="1" relativeHeight="5">
                <wp:simplePos x="0" y="0"/>
                <wp:positionH relativeFrom="page">
                  <wp:posOffset>-3227705</wp:posOffset>
                </wp:positionH>
                <wp:positionV relativeFrom="page">
                  <wp:posOffset>3395980</wp:posOffset>
                </wp:positionV>
                <wp:extent cx="6708775" cy="1270"/>
                <wp:effectExtent l="0" t="0" r="0" b="0"/>
                <wp:wrapNone/>
                <wp:docPr id="6" name=""/>
                <a:graphic xmlns:a="http://schemas.openxmlformats.org/drawingml/2006/main">
                  <a:graphicData uri="http://schemas.microsoft.com/office/word/2010/wordprocessingShape">
                    <wps:wsp>
                      <wps:cNvSpPr/>
                      <wps:spPr>
                        <a:xfrm>
                          <a:off x="0" y="0"/>
                          <a:ext cx="0" cy="955944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9.9pt,3.35pt" to="9.9pt,756pt" stroked="t" style="position:absolute;mso-position-horizontal-relative:page;mso-position-vertical-relative:page">
                <v:stroke color="black" joinstyle="round" endcap="flat"/>
                <v:fill o:detectmouseclick="t" on="false"/>
              </v:line>
            </w:pict>
          </mc:Fallback>
        </mc:AlternateContent>
      </w:r>
    </w:p>
    <w:p>
      <w:pPr>
        <w:pStyle w:val="OiaeaeiYiio2"/>
        <w:widowControl/>
        <w:spacing w:before="20" w:after="20"/>
        <w:jc w:val="left"/>
        <w:rPr>
          <w:rFonts w:ascii="Arial Narrow" w:hAnsi="Arial Narrow"/>
          <w:b/>
          <w:b/>
          <w:i w:val="false"/>
          <w:i w:val="false"/>
          <w:sz w:val="20"/>
          <w:lang w:val="it-IT"/>
        </w:rPr>
      </w:pPr>
      <w:r>
        <w:rPr>
          <w:rFonts w:ascii="Arial Narrow" w:hAnsi="Arial Narrow"/>
          <w:b/>
          <w:i w:val="false"/>
          <w:sz w:val="20"/>
          <w:lang w:val="it-IT"/>
        </w:rPr>
        <w:t>PUBBLICAZIONI  SCIENTIFICHE</w:t>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both"/>
        <w:rPr>
          <w:rFonts w:ascii="Arial Narrow" w:hAnsi="Arial Narrow"/>
          <w:b/>
          <w:b/>
          <w:i w:val="false"/>
          <w:i w:val="false"/>
          <w:sz w:val="20"/>
          <w:lang w:val="it-IT"/>
        </w:rPr>
      </w:pPr>
      <w:r>
        <w:rPr>
          <w:rFonts w:ascii="Arial Narrow" w:hAnsi="Arial Narrow"/>
          <w:b/>
          <w:i w:val="false"/>
          <w:sz w:val="20"/>
          <w:lang w:val="it-IT"/>
        </w:rPr>
        <w:t>Principali pubblicazioni su  Riviste  internazionali</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ListParagraph"/>
        <w:numPr>
          <w:ilvl w:val="0"/>
          <w:numId w:val="1"/>
        </w:numPr>
        <w:jc w:val="both"/>
        <w:rPr>
          <w:rFonts w:ascii="Arial Narrow" w:hAnsi="Arial Narrow"/>
          <w:lang w:val="en-US"/>
        </w:rPr>
      </w:pPr>
      <w:r>
        <w:rPr>
          <w:rFonts w:ascii="Arial Narrow" w:hAnsi="Arial Narrow"/>
          <w:lang w:val="en-US"/>
        </w:rPr>
        <w:t>Reflectance confocal microscopy for melanoma and melanocytic lesion assessment. Longo C, Bassoli S, Farnetani F, Ferrari B, Pupelli G, Seidenari S, Pellacani G. Expert Review of Dermatology, Dec 2008, Vol. 3, No. 6, Pages 735-745.</w:t>
      </w:r>
    </w:p>
    <w:p>
      <w:pPr>
        <w:pStyle w:val="ListParagraph"/>
        <w:numPr>
          <w:ilvl w:val="0"/>
          <w:numId w:val="1"/>
        </w:numPr>
        <w:jc w:val="both"/>
        <w:rPr>
          <w:rFonts w:ascii="Arial Narrow" w:hAnsi="Arial Narrow"/>
          <w:lang w:val="en-US"/>
        </w:rPr>
      </w:pPr>
      <w:r>
        <w:rPr>
          <w:rFonts w:ascii="Arial Narrow" w:hAnsi="Arial Narrow"/>
          <w:lang w:val="en-US"/>
        </w:rPr>
        <w:t xml:space="preserve">In vivo confocal microscopy for detection and grading of dysplastic nevi: A pilot study. </w:t>
      </w:r>
      <w:r>
        <w:rPr>
          <w:rFonts w:ascii="Arial Narrow" w:hAnsi="Arial Narrow"/>
        </w:rPr>
        <w:t>Pellacani G, Farnetani F, Gonzalez S, Longo C, Cesinaro AM, Casari A, Beretti F, Seidenari S, Jill M. Jam Acad dermatol. 2012 Mar, 66(3):109-121. Epub 2011 Jul 13</w:t>
      </w:r>
    </w:p>
    <w:p>
      <w:pPr>
        <w:pStyle w:val="ListParagraph"/>
        <w:numPr>
          <w:ilvl w:val="0"/>
          <w:numId w:val="1"/>
        </w:numPr>
        <w:jc w:val="both"/>
        <w:rPr>
          <w:rFonts w:ascii="Arial Narrow" w:hAnsi="Arial Narrow"/>
        </w:rPr>
      </w:pPr>
      <w:r>
        <w:rPr>
          <w:rFonts w:ascii="Arial Narrow" w:hAnsi="Arial Narrow"/>
          <w:lang w:val="en-US"/>
        </w:rPr>
        <w:t xml:space="preserve">Can non invasive imaging tools potentially predict the risk of ulceration in invasive melanomas showing blue and black colors? </w:t>
      </w:r>
      <w:r>
        <w:rPr>
          <w:rFonts w:ascii="Arial Narrow" w:hAnsi="Arial Narrow"/>
        </w:rPr>
        <w:t>Longo C, Farnetani F, Moscarella E, de Pace B, Ciardo S, Ponti G, Piana S, Cesinaro AM, Cota C, Argenziano G, Rosendahl C, Pellacani G, Zalaudek I. Melanoma Res. 2013 Apr;23(2):125-31</w:t>
      </w:r>
    </w:p>
    <w:p>
      <w:pPr>
        <w:pStyle w:val="ListParagraph"/>
        <w:numPr>
          <w:ilvl w:val="0"/>
          <w:numId w:val="1"/>
        </w:numPr>
        <w:jc w:val="both"/>
        <w:rPr>
          <w:rFonts w:ascii="Arial Narrow" w:hAnsi="Arial Narrow"/>
        </w:rPr>
      </w:pPr>
      <w:r>
        <w:rPr>
          <w:rFonts w:ascii="Arial Narrow" w:hAnsi="Arial Narrow"/>
          <w:lang w:val="en-US"/>
        </w:rPr>
        <w:t xml:space="preserve">Is confocal microscopy a valuable tool in diagnosing nodular lesions? </w:t>
      </w:r>
      <w:r>
        <w:rPr>
          <w:rFonts w:ascii="Arial Narrow" w:hAnsi="Arial Narrow"/>
        </w:rPr>
        <w:t>A study of 140 cases. Longo C, Farnetani F, Ciardo S, Cesinaro AM, Moscarella E, Ponti G, Zalaudek I, Argenziano G, Pellacani G. Br J Dermatol. 2013 Jul;169(1):58-67</w:t>
      </w:r>
    </w:p>
    <w:p>
      <w:pPr>
        <w:pStyle w:val="ListParagraph"/>
        <w:numPr>
          <w:ilvl w:val="0"/>
          <w:numId w:val="1"/>
        </w:numPr>
        <w:jc w:val="both"/>
        <w:rPr>
          <w:rFonts w:ascii="Arial Narrow" w:hAnsi="Arial Narrow"/>
          <w:lang w:val="en-US"/>
        </w:rPr>
      </w:pPr>
      <w:r>
        <w:rPr>
          <w:rFonts w:ascii="Arial Narrow" w:hAnsi="Arial Narrow"/>
          <w:lang w:val="en-US"/>
        </w:rPr>
        <w:t xml:space="preserve">Towards an in vivo morphologic classification of melanocytic nevi. </w:t>
      </w:r>
      <w:r>
        <w:rPr>
          <w:rFonts w:ascii="Arial Narrow" w:hAnsi="Arial Narrow"/>
        </w:rPr>
        <w:t>Pellacani G, Scope A, Farnetani F, Casaretta G, Zalaudek I, Moscarella E, Casari A, Cesinaro AM, Argenziano G, Longo C.  J Eur Acad Dermatol Venereol. 2013</w:t>
      </w:r>
    </w:p>
    <w:p>
      <w:pPr>
        <w:pStyle w:val="ListParagraph"/>
        <w:numPr>
          <w:ilvl w:val="0"/>
          <w:numId w:val="1"/>
        </w:numPr>
        <w:jc w:val="both"/>
        <w:rPr>
          <w:rFonts w:ascii="Arial Narrow" w:hAnsi="Arial Narrow"/>
          <w:lang w:val="en-US"/>
        </w:rPr>
      </w:pPr>
      <w:r>
        <w:rPr>
          <w:rFonts w:ascii="Arial Narrow" w:hAnsi="Arial Narrow"/>
          <w:lang w:val="en-US"/>
        </w:rPr>
        <w:t xml:space="preserve">CDKN2A and MC1R variants influence dermoscopic and confocal features of benign melanocytic lesions in multiple melanoma patients. </w:t>
      </w:r>
      <w:r>
        <w:rPr>
          <w:rFonts w:ascii="Arial Narrow" w:hAnsi="Arial Narrow"/>
        </w:rPr>
        <w:t xml:space="preserve">Bassoli S, Maurichi A, Rodolfo M, Casari A, Frigerio S, Pupelli G, Farnetani F, Pelosi G, Santinami M, . </w:t>
      </w:r>
      <w:r>
        <w:rPr>
          <w:rFonts w:ascii="Arial Narrow" w:hAnsi="Arial Narrow"/>
          <w:lang w:val="en-US"/>
        </w:rPr>
        <w:t>Exp Dermatol. 2013 Jun;22(6):411-6.</w:t>
      </w:r>
    </w:p>
    <w:p>
      <w:pPr>
        <w:pStyle w:val="ListParagraph"/>
        <w:numPr>
          <w:ilvl w:val="0"/>
          <w:numId w:val="1"/>
        </w:numPr>
        <w:jc w:val="both"/>
        <w:rPr>
          <w:rFonts w:ascii="Arial Narrow" w:hAnsi="Arial Narrow"/>
        </w:rPr>
      </w:pPr>
      <w:r>
        <w:rPr>
          <w:rFonts w:ascii="Arial Narrow" w:hAnsi="Arial Narrow"/>
          <w:lang w:val="en-US"/>
        </w:rPr>
        <w:t xml:space="preserve">The role of Reflectance Confocal Microscopy  as an Aid in the diagnosis of Collision Tumors. </w:t>
      </w:r>
      <w:r>
        <w:rPr>
          <w:rFonts w:ascii="Arial Narrow" w:hAnsi="Arial Narrow"/>
        </w:rPr>
        <w:t>Moscarella E, Rabinovitz H, Oliviero M C, Brown L, Longo C, Zalaudek I, Piana S, Farnetani F, Lallas E, Argenziano G, Pellacani G., Dermatology. 2013 Sep 25</w:t>
      </w:r>
    </w:p>
    <w:p>
      <w:pPr>
        <w:pStyle w:val="ListParagraph"/>
        <w:numPr>
          <w:ilvl w:val="0"/>
          <w:numId w:val="1"/>
        </w:numPr>
        <w:jc w:val="both"/>
        <w:rPr/>
      </w:pPr>
      <w:hyperlink r:id="rId3">
        <w:r>
          <w:rPr>
            <w:rStyle w:val="CollegamentoInternet"/>
            <w:rFonts w:cs="Arial" w:ascii="Arial Narrow" w:hAnsi="Arial Narrow"/>
            <w:color w:val="000000"/>
            <w:lang w:eastAsia="it-IT"/>
          </w:rPr>
          <w:t>Does skin hydration influence keratinocyte biology? In vivo evaluation of microscopic skin changes induced by moisturizers by means of reflectance confocal microscopy.</w:t>
        </w:r>
      </w:hyperlink>
      <w:r>
        <w:rPr>
          <w:rFonts w:cs="Arial" w:ascii="Arial Narrow" w:hAnsi="Arial Narrow"/>
          <w:lang w:eastAsia="it-IT"/>
        </w:rPr>
        <w:t xml:space="preserve">Manfredini M, Mazzaglia G, Ciardo S, Simonazzi S, </w:t>
      </w:r>
      <w:r>
        <w:rPr>
          <w:rFonts w:cs="Arial" w:ascii="Arial Narrow" w:hAnsi="Arial Narrow"/>
          <w:b/>
          <w:bCs/>
          <w:lang w:eastAsia="it-IT"/>
        </w:rPr>
        <w:t>Farnetani F</w:t>
      </w:r>
      <w:r>
        <w:rPr>
          <w:rFonts w:cs="Arial" w:ascii="Arial Narrow" w:hAnsi="Arial Narrow"/>
          <w:lang w:eastAsia="it-IT"/>
        </w:rPr>
        <w:t>, Longo C, Pellacani G.Skin Res Technol. 2013 Aug;19(3):299-307</w:t>
      </w:r>
    </w:p>
    <w:p>
      <w:pPr>
        <w:pStyle w:val="ListParagraph"/>
        <w:numPr>
          <w:ilvl w:val="0"/>
          <w:numId w:val="1"/>
        </w:numPr>
        <w:jc w:val="both"/>
        <w:rPr>
          <w:rFonts w:ascii="Arial Narrow" w:hAnsi="Arial Narrow"/>
        </w:rPr>
      </w:pPr>
      <w:r>
        <w:rPr>
          <w:rFonts w:ascii="Arial Narrow" w:hAnsi="Arial Narrow"/>
          <w:lang w:val="en-US"/>
        </w:rPr>
        <w:t xml:space="preserve">Non-invasive in-vivo dermatopathology: Identification of reflectance confocal microscopic correlates to specific histologic features seen in melanocytic neoplasms. </w:t>
      </w:r>
      <w:r>
        <w:rPr>
          <w:rFonts w:ascii="Arial Narrow" w:hAnsi="Arial Narrow"/>
        </w:rPr>
        <w:t>Gill M, Longo C, Farnetani F, Casinaro AM, Gonzalez S, Pellacani G (ms no. JEADV-2013-0743.R1), In press</w:t>
      </w:r>
    </w:p>
    <w:p>
      <w:pPr>
        <w:pStyle w:val="ListParagraph"/>
        <w:numPr>
          <w:ilvl w:val="0"/>
          <w:numId w:val="1"/>
        </w:numPr>
        <w:jc w:val="both"/>
        <w:rPr>
          <w:rFonts w:ascii="Arial Narrow" w:hAnsi="Arial Narrow"/>
        </w:rPr>
      </w:pPr>
      <w:r>
        <w:rPr>
          <w:rFonts w:ascii="Arial Narrow" w:hAnsi="Arial Narrow"/>
        </w:rPr>
        <w:t xml:space="preserve">Brooke-Spiegler syndrome tumor spectrum beyond the skin: a patient carrying germline R936X CYLD mutation and a somatic CYLD mutation in Brenner tumor Ponti G, Ruini C, Girolomoni Gi, Pellacani G, Farnetani F Pastorino L, Ghiorzo P, Witkowski A.M. Bianchi-Scarrà G, Tomasi A, Loschi P,  Nasti S. </w:t>
      </w:r>
      <w:r>
        <w:rPr>
          <w:rFonts w:cs="Arial" w:ascii="Arial Narrow" w:hAnsi="Arial Narrow"/>
          <w:lang w:eastAsia="it-IT"/>
        </w:rPr>
        <w:t>Future Oncol. 2014 Feb;10(3):345-50.</w:t>
      </w:r>
    </w:p>
    <w:p>
      <w:pPr>
        <w:pStyle w:val="ListParagraph"/>
        <w:numPr>
          <w:ilvl w:val="0"/>
          <w:numId w:val="1"/>
        </w:numPr>
        <w:jc w:val="both"/>
        <w:rPr>
          <w:rFonts w:ascii="Arial Narrow" w:hAnsi="Arial Narrow"/>
        </w:rPr>
      </w:pPr>
      <w:r>
        <w:rPr>
          <w:rFonts w:cs="Arial" w:ascii="Arial Narrow" w:hAnsi="Arial Narrow"/>
          <w:lang w:eastAsia="it-IT"/>
        </w:rPr>
        <w:t xml:space="preserve"> </w:t>
      </w:r>
      <w:r>
        <w:rPr>
          <w:rFonts w:cs="Arial" w:ascii="Arial Narrow" w:hAnsi="Arial Narrow"/>
          <w:bCs/>
          <w:lang w:eastAsia="it-IT"/>
        </w:rPr>
        <w:t xml:space="preserve">CD271 is expressed in melanoma with more aggressive behavior with correlation of characteristic morphology in in vivo reflectance confocal microscopy. </w:t>
      </w:r>
      <w:r>
        <w:rPr>
          <w:rFonts w:cs="Arial" w:ascii="Arial Narrow" w:hAnsi="Arial Narrow"/>
          <w:lang w:eastAsia="it-IT"/>
        </w:rPr>
        <w:t xml:space="preserve">Beretti F, Manni P, Longo C, Argenziano G, </w:t>
      </w:r>
      <w:r>
        <w:rPr>
          <w:rFonts w:cs="Arial" w:ascii="Arial Narrow" w:hAnsi="Arial Narrow"/>
          <w:b/>
          <w:bCs/>
          <w:lang w:eastAsia="it-IT"/>
        </w:rPr>
        <w:t>Farnetani F</w:t>
      </w:r>
      <w:r>
        <w:rPr>
          <w:rFonts w:cs="Arial" w:ascii="Arial Narrow" w:hAnsi="Arial Narrow"/>
          <w:lang w:eastAsia="it-IT"/>
        </w:rPr>
        <w:t>, Cesinaro AM, Witkowski AM, De Pol A, Pellacani G. Br J Dermatol. 2014 Jul 26</w:t>
      </w:r>
    </w:p>
    <w:p>
      <w:pPr>
        <w:pStyle w:val="ListParagraph"/>
        <w:numPr>
          <w:ilvl w:val="0"/>
          <w:numId w:val="1"/>
        </w:numPr>
        <w:jc w:val="both"/>
        <w:rPr>
          <w:rFonts w:ascii="Arial Narrow" w:hAnsi="Arial Narrow"/>
          <w:color w:val="000000"/>
        </w:rPr>
      </w:pPr>
      <w:r>
        <w:rPr>
          <w:rFonts w:cs="Arial" w:ascii="Arial Narrow" w:hAnsi="Arial Narrow"/>
          <w:color w:val="000000"/>
          <w:lang w:eastAsia="it-IT"/>
        </w:rPr>
        <w:t xml:space="preserve">Integration of reflectance confocal microscopy in sequential dermoscopy follow-up improves melanoma detection accuracy. </w:t>
      </w:r>
      <w:r>
        <w:rPr>
          <w:rFonts w:cs="Arial" w:ascii="Arial Narrow" w:hAnsi="Arial Narrow"/>
          <w:lang w:eastAsia="it-IT"/>
        </w:rPr>
        <w:t xml:space="preserve">Stanganelli I, Longo C, Mazzoni L, Magi S, Medri M, Lanzanova G, </w:t>
      </w:r>
      <w:r>
        <w:rPr>
          <w:rFonts w:cs="Arial" w:ascii="Arial Narrow" w:hAnsi="Arial Narrow"/>
          <w:b/>
          <w:bCs/>
          <w:lang w:eastAsia="it-IT"/>
        </w:rPr>
        <w:t>Farnetani F</w:t>
      </w:r>
      <w:r>
        <w:rPr>
          <w:rFonts w:cs="Arial" w:ascii="Arial Narrow" w:hAnsi="Arial Narrow"/>
          <w:lang w:eastAsia="it-IT"/>
        </w:rPr>
        <w:t>, Pellacani G. Br J Dermatol. 2014 Aug 25</w:t>
      </w:r>
    </w:p>
    <w:p>
      <w:pPr>
        <w:pStyle w:val="ListParagraph"/>
        <w:numPr>
          <w:ilvl w:val="0"/>
          <w:numId w:val="1"/>
        </w:numPr>
        <w:jc w:val="both"/>
        <w:rPr>
          <w:rFonts w:ascii="Arial Narrow" w:hAnsi="Arial Narrow"/>
          <w:color w:val="000000"/>
        </w:rPr>
      </w:pPr>
      <w:r>
        <w:rPr>
          <w:rFonts w:cs="Arial" w:ascii="Arial Narrow" w:hAnsi="Arial Narrow"/>
          <w:bCs/>
          <w:lang w:eastAsia="it-IT"/>
        </w:rPr>
        <w:t xml:space="preserve">Acne: in vivo morphologic study of lesions and surrounding skin by means of reflectance confocal microscopy. </w:t>
      </w:r>
      <w:r>
        <w:rPr>
          <w:rFonts w:cs="Arial" w:ascii="Arial Narrow" w:hAnsi="Arial Narrow"/>
          <w:lang w:eastAsia="it-IT"/>
        </w:rPr>
        <w:t xml:space="preserve">Manfredini M, Mazzaglia G, Ciardo S, </w:t>
      </w:r>
      <w:r>
        <w:rPr>
          <w:rFonts w:cs="Arial" w:ascii="Arial Narrow" w:hAnsi="Arial Narrow"/>
          <w:b/>
          <w:bCs/>
          <w:lang w:eastAsia="it-IT"/>
        </w:rPr>
        <w:t>Farnetani F</w:t>
      </w:r>
      <w:r>
        <w:rPr>
          <w:rFonts w:cs="Arial" w:ascii="Arial Narrow" w:hAnsi="Arial Narrow"/>
          <w:lang w:eastAsia="it-IT"/>
        </w:rPr>
        <w:t>, Mandel VD, Longo C, Zauli S, Bettoli V, Virgili A, Pellacani G. J Eur Acad Dermatol Venereol. 2014 Sep 26</w:t>
      </w:r>
    </w:p>
    <w:p>
      <w:pPr>
        <w:pStyle w:val="ListParagraph"/>
        <w:numPr>
          <w:ilvl w:val="0"/>
          <w:numId w:val="1"/>
        </w:numPr>
        <w:jc w:val="both"/>
        <w:rPr>
          <w:rFonts w:ascii="Arial Narrow" w:hAnsi="Arial Narrow"/>
          <w:color w:val="000000"/>
        </w:rPr>
      </w:pPr>
      <w:r>
        <w:rPr>
          <w:rFonts w:cs="Arial" w:ascii="Arial Narrow" w:hAnsi="Arial Narrow"/>
          <w:b/>
          <w:bCs/>
          <w:lang w:eastAsia="it-IT"/>
        </w:rPr>
        <w:t>Dermoscopic difficult lesions: an objective evaluation of reflectance confocal microscopy impact for accurate diagnosis</w:t>
      </w:r>
      <w:r>
        <w:rPr>
          <w:rFonts w:cs="Arial" w:ascii="Arial Narrow" w:hAnsi="Arial Narrow"/>
          <w:b/>
          <w:bCs/>
          <w:sz w:val="32"/>
          <w:szCs w:val="32"/>
          <w:lang w:eastAsia="it-IT"/>
        </w:rPr>
        <w:t>.</w:t>
      </w:r>
      <w:r>
        <w:rPr>
          <w:rFonts w:cs="Arial" w:ascii="Arial Narrow" w:hAnsi="Arial Narrow"/>
          <w:lang w:eastAsia="it-IT"/>
        </w:rPr>
        <w:t xml:space="preserve">Ferrari B, Pupelli G, </w:t>
      </w:r>
      <w:r>
        <w:rPr>
          <w:rFonts w:cs="Arial" w:ascii="Arial Narrow" w:hAnsi="Arial Narrow"/>
          <w:b/>
          <w:bCs/>
          <w:lang w:eastAsia="it-IT"/>
        </w:rPr>
        <w:t>Farnetani F</w:t>
      </w:r>
      <w:r>
        <w:rPr>
          <w:rFonts w:cs="Arial" w:ascii="Arial Narrow" w:hAnsi="Arial Narrow"/>
          <w:lang w:eastAsia="it-IT"/>
        </w:rPr>
        <w:t>, De Carvalho NT, Longo C, Reggiani C, Argenziano G, Pellacani G.</w:t>
      </w:r>
      <w:r>
        <w:rPr>
          <w:rFonts w:cs="Arial" w:ascii="Arial Narrow" w:hAnsi="Arial Narrow"/>
          <w:b/>
          <w:bCs/>
          <w:lang w:eastAsia="it-IT"/>
        </w:rPr>
        <w:t xml:space="preserve">  </w:t>
      </w:r>
      <w:r>
        <w:rPr>
          <w:rFonts w:cs="Arial" w:ascii="Arial Narrow" w:hAnsi="Arial Narrow"/>
          <w:lang w:eastAsia="it-IT"/>
        </w:rPr>
        <w:t>J Eur Acad Dermatol Venereol. 2014 Oct</w:t>
      </w:r>
    </w:p>
    <w:p>
      <w:pPr>
        <w:pStyle w:val="ListParagraph"/>
        <w:numPr>
          <w:ilvl w:val="0"/>
          <w:numId w:val="1"/>
        </w:numPr>
        <w:jc w:val="both"/>
        <w:rPr>
          <w:rFonts w:ascii="Arial Narrow" w:hAnsi="Arial Narrow"/>
          <w:color w:val="000000"/>
        </w:rPr>
      </w:pPr>
      <w:r>
        <w:rPr>
          <w:rFonts w:cs="Arial" w:ascii="Arial Narrow" w:hAnsi="Arial Narrow"/>
          <w:bCs/>
          <w:lang w:eastAsia="it-IT"/>
        </w:rPr>
        <w:t xml:space="preserve">Association between dietary vitamin C and risk of cutaneous melanoma in a population of northern Italy. </w:t>
      </w:r>
      <w:r>
        <w:rPr>
          <w:rFonts w:cs="Arial" w:ascii="Arial Narrow" w:hAnsi="Arial Narrow"/>
          <w:lang w:eastAsia="it-IT"/>
        </w:rPr>
        <w:t xml:space="preserve">Malavolti M, Malagoli C, Fiorentini C, Longo C, </w:t>
      </w:r>
      <w:r>
        <w:rPr>
          <w:rFonts w:cs="Arial" w:ascii="Arial Narrow" w:hAnsi="Arial Narrow"/>
          <w:b/>
          <w:bCs/>
          <w:lang w:eastAsia="it-IT"/>
        </w:rPr>
        <w:t>Farnetani F</w:t>
      </w:r>
      <w:r>
        <w:rPr>
          <w:rFonts w:cs="Arial" w:ascii="Arial Narrow" w:hAnsi="Arial Narrow"/>
          <w:lang w:eastAsia="it-IT"/>
        </w:rPr>
        <w:t>, Ricci C, Albertini G, Lanzoni A, Reggiani C, Virgili A, Pagliarello C, Santini M, Fanti PA, Dika E, Sieri S, Krogh V, Pellacani G, Vinceti M. nt J Vitam Nutr Res. 2013;83(5):291-8</w:t>
      </w:r>
    </w:p>
    <w:p>
      <w:pPr>
        <w:pStyle w:val="Normal"/>
        <w:widowControl/>
        <w:spacing w:before="20" w:after="20"/>
        <w:jc w:val="both"/>
        <w:rPr>
          <w:rFonts w:ascii="Arial Narrow" w:hAnsi="Arial Narrow"/>
          <w:color w:val="000000"/>
        </w:rPr>
      </w:pPr>
      <w:r>
        <w:rPr>
          <w:rFonts w:ascii="Arial Narrow" w:hAnsi="Arial Narrow"/>
          <w:color w:val="000000"/>
        </w:rPr>
        <w:t xml:space="preserve">        </w:t>
      </w:r>
    </w:p>
    <w:p>
      <w:pPr>
        <w:pStyle w:val="Normal"/>
        <w:widowControl/>
        <w:spacing w:before="20" w:after="20"/>
        <w:jc w:val="both"/>
        <w:rPr>
          <w:rFonts w:ascii="Arial Narrow" w:hAnsi="Arial Narrow"/>
          <w:b/>
          <w:b/>
        </w:rPr>
      </w:pPr>
      <w:r>
        <w:rPr>
          <w:rFonts w:ascii="Arial Narrow" w:hAnsi="Arial Narrow"/>
          <w:b/>
        </w:rPr>
        <w:t>Capitoli di testi scientifici</w:t>
      </w:r>
    </w:p>
    <w:p>
      <w:pPr>
        <w:pStyle w:val="Normal"/>
        <w:widowControl/>
        <w:spacing w:before="20" w:after="20"/>
        <w:ind w:left="720" w:hanging="0"/>
        <w:jc w:val="both"/>
        <w:rPr>
          <w:rFonts w:ascii="Arial Narrow" w:hAnsi="Arial Narrow"/>
        </w:rPr>
      </w:pPr>
      <w:r>
        <w:rPr>
          <w:rFonts w:ascii="Arial Narrow" w:hAnsi="Arial Narrow"/>
        </w:rPr>
      </w:r>
    </w:p>
    <w:p>
      <w:pPr>
        <w:pStyle w:val="ListParagraph"/>
        <w:numPr>
          <w:ilvl w:val="0"/>
          <w:numId w:val="3"/>
        </w:numPr>
        <w:jc w:val="both"/>
        <w:rPr>
          <w:rFonts w:ascii="Arial Narrow" w:hAnsi="Arial Narrow"/>
        </w:rPr>
      </w:pPr>
      <w:r>
        <w:rPr>
          <w:rFonts w:ascii="Arial Narrow" w:hAnsi="Arial Narrow"/>
        </w:rPr>
        <w:t>Reflectance confocal Microscopy for skin diseases Hofmann R, Pellacani G, Malvey J, Soyer P.-Dysplastic Nevi, Pellacani G, Farnetani F, Argenziano g, Zalaudek I, Longo C, Gill M.87\99.Springer</w:t>
      </w:r>
    </w:p>
    <w:p>
      <w:pPr>
        <w:pStyle w:val="Normal"/>
        <w:widowControl/>
        <w:spacing w:before="20" w:after="20"/>
        <w:ind w:left="720" w:hanging="0"/>
        <w:jc w:val="both"/>
        <w:rPr>
          <w:rFonts w:ascii="Arial Narrow" w:hAnsi="Arial Narrow"/>
        </w:rPr>
      </w:pPr>
      <w:r>
        <w:rPr>
          <w:rFonts w:ascii="Arial Narrow" w:hAnsi="Arial Narrow"/>
        </w:rPr>
      </w:r>
    </w:p>
    <w:p>
      <w:pPr>
        <w:pStyle w:val="ListParagraph"/>
        <w:numPr>
          <w:ilvl w:val="0"/>
          <w:numId w:val="3"/>
        </w:numPr>
        <w:jc w:val="both"/>
        <w:rPr>
          <w:rFonts w:ascii="Arial Narrow" w:hAnsi="Arial Narrow"/>
          <w:lang w:val="en-US"/>
        </w:rPr>
      </w:pPr>
      <w:r>
        <w:rPr>
          <w:rFonts w:ascii="Arial Narrow" w:hAnsi="Arial Narrow"/>
          <w:lang w:val="en-US"/>
        </w:rPr>
        <w:t>Reflectance confocal microscopi in Dermatology : Fundamentals and Clinical Applications</w:t>
      </w:r>
    </w:p>
    <w:p>
      <w:pPr>
        <w:pStyle w:val="ListParagraph"/>
        <w:jc w:val="both"/>
        <w:rPr>
          <w:rFonts w:ascii="Arial Narrow" w:hAnsi="Arial Narrow"/>
          <w:lang w:val="en-US"/>
        </w:rPr>
      </w:pPr>
      <w:r>
        <w:rPr>
          <w:rFonts w:ascii="Arial Narrow" w:hAnsi="Arial Narrow"/>
          <w:lang w:val="en-US"/>
        </w:rPr>
        <w:t>Gonzalez S Monogr dermatol 2011-Grupo Aula Medica Madrid Spain</w:t>
      </w:r>
    </w:p>
    <w:p>
      <w:pPr>
        <w:pStyle w:val="ListParagraph"/>
        <w:jc w:val="both"/>
        <w:rPr>
          <w:rFonts w:ascii="Arial Narrow" w:hAnsi="Arial Narrow"/>
          <w:lang w:val="en-US"/>
        </w:rPr>
      </w:pPr>
      <w:r>
        <w:rPr>
          <w:rFonts w:ascii="Arial Narrow" w:hAnsi="Arial Narrow"/>
          <w:lang w:val="en-US"/>
        </w:rPr>
        <w:t>Spitz reed nevus  39-41 –pellacani g, longo c, pupilli g¸errari b, farnetani f,bossoli s, seidenaris.</w:t>
      </w:r>
    </w:p>
    <w:p>
      <w:pPr>
        <w:pStyle w:val="ListParagraph"/>
        <w:jc w:val="both"/>
        <w:rPr>
          <w:rFonts w:ascii="Arial Narrow" w:hAnsi="Arial Narrow"/>
          <w:lang w:val="en-US"/>
        </w:rPr>
      </w:pPr>
      <w:r>
        <w:rPr>
          <w:rFonts w:ascii="Arial Narrow" w:hAnsi="Arial Narrow"/>
          <w:lang w:val="en-US"/>
        </w:rPr>
      </w:r>
    </w:p>
    <w:p>
      <w:pPr>
        <w:pStyle w:val="ListParagraph"/>
        <w:jc w:val="both"/>
        <w:rPr>
          <w:rFonts w:ascii="Arial Narrow" w:hAnsi="Arial Narrow"/>
        </w:rPr>
      </w:pPr>
      <w:r>
        <w:rPr>
          <w:rFonts w:ascii="Arial Narrow" w:hAnsi="Arial Narrow"/>
        </w:rPr>
        <w:t>Melanoma 47-51-pupelli g, ferrari b, farnetani f, bossoli s, longo c, seidenari s, pellacani</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both"/>
        <w:rPr>
          <w:rFonts w:ascii="Arial Narrow" w:hAnsi="Arial Narrow"/>
          <w:b/>
          <w:b/>
          <w:i w:val="false"/>
          <w:i w:val="false"/>
          <w:sz w:val="20"/>
          <w:lang w:val="it-IT"/>
        </w:rPr>
      </w:pPr>
      <w:r>
        <w:rPr>
          <w:rFonts w:ascii="Arial Narrow" w:hAnsi="Arial Narrow"/>
          <w:b/>
          <w:i w:val="false"/>
          <w:sz w:val="20"/>
          <w:lang w:val="it-IT"/>
        </w:rPr>
        <w:t>Principali pubblicazioni su Riviste nazionali</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ListParagraph"/>
        <w:numPr>
          <w:ilvl w:val="0"/>
          <w:numId w:val="4"/>
        </w:numPr>
        <w:jc w:val="both"/>
        <w:rPr>
          <w:rFonts w:ascii="Arial Narrow" w:hAnsi="Arial Narrow"/>
        </w:rPr>
      </w:pPr>
      <w:r>
        <w:rPr>
          <w:rFonts w:ascii="Arial Narrow" w:hAnsi="Arial Narrow"/>
        </w:rPr>
        <w:t>La microscopia laser confocale - evoluzione e sviluppo di una nuova tecnica di imaging in dermato-oncologia. Pupelli G, Ferrari B, Farnetani F, Bassoli S, Longo C, Seidenari S, Pellacani G. Hi Tech Dermo volume 6/2008: 11-17</w:t>
      </w:r>
    </w:p>
    <w:p>
      <w:pPr>
        <w:pStyle w:val="ListParagraph"/>
        <w:numPr>
          <w:ilvl w:val="0"/>
          <w:numId w:val="4"/>
        </w:numPr>
        <w:jc w:val="both"/>
        <w:rPr>
          <w:rFonts w:ascii="Arial Narrow" w:hAnsi="Arial Narrow"/>
        </w:rPr>
      </w:pPr>
      <w:r>
        <w:rPr>
          <w:rFonts w:ascii="Arial Narrow" w:hAnsi="Arial Narrow"/>
        </w:rPr>
        <w:t>Valutazione dell’efficacia di Vitamina E-Tocoferoli e tocotrienoli in forma libera nelal prevenzione del danno di barriera cutanea. Casari A, De Pace B, Losi A, Simonazzi S, Mazzaglia G, Farnetani F, Longo C, Pellacani G. hi Tech Dermo volume 1/2012: 28-35</w:t>
      </w:r>
    </w:p>
    <w:p>
      <w:pPr>
        <w:pStyle w:val="ListParagraph"/>
        <w:numPr>
          <w:ilvl w:val="0"/>
          <w:numId w:val="4"/>
        </w:numPr>
        <w:jc w:val="both"/>
        <w:rPr>
          <w:rFonts w:ascii="Arial Narrow" w:hAnsi="Arial Narrow"/>
        </w:rPr>
      </w:pPr>
      <w:r>
        <w:rPr>
          <w:rFonts w:ascii="Arial Narrow" w:hAnsi="Arial Narrow"/>
        </w:rPr>
        <w:t>Difficile diagnosi di carcinoma Squamocellulare. Ruini C, Ciardo S, Simonazzi S, Farnetani F. Hi Tech Dermo 2\2013</w:t>
      </w:r>
    </w:p>
    <w:p>
      <w:pPr>
        <w:pStyle w:val="ListParagraph"/>
        <w:jc w:val="both"/>
        <w:rPr>
          <w:rFonts w:ascii="Arial Narrow" w:hAnsi="Arial Narrow"/>
        </w:rPr>
      </w:pPr>
      <w:r>
        <w:rPr>
          <w:rFonts w:ascii="Arial Narrow" w:hAnsi="Arial Narrow"/>
        </w:rPr>
      </w:r>
    </w:p>
    <w:p>
      <w:pPr>
        <w:pStyle w:val="OiaeaeiYiio2"/>
        <w:widowControl/>
        <w:spacing w:before="20" w:after="20"/>
        <w:jc w:val="both"/>
        <w:rPr>
          <w:rFonts w:ascii="Arial Narrow" w:hAnsi="Arial Narrow"/>
          <w:b/>
          <w:b/>
          <w:i w:val="false"/>
          <w:i w:val="false"/>
          <w:sz w:val="20"/>
        </w:rPr>
      </w:pPr>
      <w:r>
        <w:rPr>
          <w:rFonts w:ascii="Arial Narrow" w:hAnsi="Arial Narrow"/>
          <w:b/>
          <w:i w:val="false"/>
          <w:sz w:val="20"/>
        </w:rPr>
        <w:t>Abstact:</w:t>
      </w:r>
    </w:p>
    <w:p>
      <w:pPr>
        <w:pStyle w:val="OiaeaeiYiio2"/>
        <w:widowControl/>
        <w:spacing w:before="20" w:after="20"/>
        <w:jc w:val="both"/>
        <w:rPr>
          <w:rFonts w:ascii="Arial Narrow" w:hAnsi="Arial Narrow"/>
          <w:i w:val="false"/>
          <w:i w:val="false"/>
          <w:sz w:val="20"/>
        </w:rPr>
      </w:pPr>
      <w:r>
        <w:rPr>
          <w:rFonts w:ascii="Arial Narrow" w:hAnsi="Arial Narrow"/>
          <w:i w:val="false"/>
          <w:sz w:val="20"/>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Ferrari B., Pupelli G., Zalaudek I., Argenziano G., Farnetani F., Longo C., Bassoli S., Seidenari S., Pellacani G. "Microscopia laser confocale: una metodica per valutare la biologia e l'evoluzione delle lesioni melanocitarie" IV Congresso SIDeMAST, Napoli, Maggio 2008</w:t>
      </w:r>
    </w:p>
    <w:p>
      <w:pPr>
        <w:pStyle w:val="OiaeaeiYiio2"/>
        <w:widowControl/>
        <w:spacing w:before="20" w:after="20"/>
        <w:ind w:left="720" w:hanging="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Pupelli G., Ferrari B., Farnetani F., Bassoli S., Longo C., Seidenari S., Pellacani G. "Progressione tumorale del melanoma: un modello studiato mediante microscopia laser confocale in vivo." IV Congresso SIDeMAST, Napoli, Maggio 2008</w:t>
      </w:r>
    </w:p>
    <w:p>
      <w:pPr>
        <w:pStyle w:val="OiaeaeiYiio2"/>
        <w:widowControl/>
        <w:spacing w:before="20" w:after="20"/>
        <w:ind w:left="720" w:hanging="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ind w:left="720" w:hanging="0"/>
        <w:jc w:val="both"/>
        <w:rPr>
          <w:rFonts w:ascii="Arial Narrow" w:hAnsi="Arial Narrow"/>
          <w:i w:val="false"/>
          <w:i w:val="false"/>
          <w:sz w:val="20"/>
        </w:rPr>
      </w:pPr>
      <w:r>
        <w:rPr>
          <w:rFonts w:ascii="Arial Narrow" w:hAnsi="Arial Narrow"/>
          <w:i w:val="false"/>
          <w:sz w:val="20"/>
        </w:rPr>
      </w:r>
    </w:p>
    <w:p>
      <w:pPr>
        <w:pStyle w:val="OiaeaeiYiio2"/>
        <w:widowControl/>
        <w:numPr>
          <w:ilvl w:val="0"/>
          <w:numId w:val="5"/>
        </w:numPr>
        <w:spacing w:before="20" w:after="20"/>
        <w:jc w:val="both"/>
        <w:rPr>
          <w:rFonts w:ascii="Arial Narrow" w:hAnsi="Arial Narrow"/>
          <w:i w:val="false"/>
          <w:i w:val="false"/>
          <w:sz w:val="20"/>
        </w:rPr>
      </w:pPr>
      <w:r>
        <w:rPr>
          <w:rFonts w:ascii="Arial Narrow" w:hAnsi="Arial Narrow"/>
          <w:i w:val="false"/>
          <w:sz w:val="20"/>
        </w:rPr>
        <w:t>Pupelli G, Bassoli S, Farnetani F, Ferrari B, Longo C, Pellacani G, Seidenari S. " The Two Faces Of Thin Melanoma" 17° EADV Congress Parigi 17-21 september 2008</w:t>
      </w:r>
    </w:p>
    <w:p>
      <w:pPr>
        <w:pStyle w:val="ListParagraph"/>
        <w:jc w:val="both"/>
        <w:rPr>
          <w:rFonts w:ascii="Arial Narrow" w:hAnsi="Arial Narrow"/>
          <w:i/>
          <w:i/>
          <w:lang w:val="en-US"/>
        </w:rPr>
      </w:pPr>
      <w:r>
        <w:rPr>
          <w:rFonts w:ascii="Arial Narrow" w:hAnsi="Arial Narrow"/>
          <w:i/>
          <w:lang w:val="en-US"/>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Pupelli G, Bassoli S, Farnetani F, Ferrari B, Longo C, Seidenari S, Pellacani G. "Microscopia confocale e casi complessi: esempi pratici d'impiego clinico." XXIV congresso Sidco Modena, 15-18 aprile 2009</w:t>
      </w:r>
    </w:p>
    <w:p>
      <w:pPr>
        <w:pStyle w:val="ListParagraph"/>
        <w:rPr>
          <w:rFonts w:ascii="Arial Narrow" w:hAnsi="Arial Narrow"/>
          <w:i/>
          <w:i/>
        </w:rPr>
      </w:pPr>
      <w:r>
        <w:rPr>
          <w:rFonts w:ascii="Arial Narrow" w:hAnsi="Arial Narrow"/>
          <w:i/>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La dermoscoipia delle metastasi di melanoma”, Farnetani F, Russo, Pupelli G, Sacco A, Bassoli S, Seidenari S, Giornale italiano di dermatologia  e venereologia 2011 AprilS v146 pages s 74</w:t>
      </w:r>
    </w:p>
    <w:p>
      <w:pPr>
        <w:pStyle w:val="ListParagraph"/>
        <w:rPr>
          <w:rFonts w:ascii="Arial Narrow" w:hAnsi="Arial Narrow"/>
          <w:i/>
          <w:i/>
        </w:rPr>
      </w:pPr>
      <w:r>
        <w:rPr>
          <w:rFonts w:ascii="Arial Narrow" w:hAnsi="Arial Narrow"/>
          <w:i/>
        </w:rPr>
        <mc:AlternateContent>
          <mc:Choice Requires="wps">
            <w:drawing>
              <wp:anchor behindDoc="1" distT="0" distB="0" distL="114300" distR="114300" simplePos="0" locked="0" layoutInCell="1" allowOverlap="1" relativeHeight="6">
                <wp:simplePos x="0" y="0"/>
                <wp:positionH relativeFrom="page">
                  <wp:posOffset>-3370580</wp:posOffset>
                </wp:positionH>
                <wp:positionV relativeFrom="page">
                  <wp:posOffset>3395980</wp:posOffset>
                </wp:positionV>
                <wp:extent cx="6708775" cy="1270"/>
                <wp:effectExtent l="0" t="0" r="0" b="0"/>
                <wp:wrapNone/>
                <wp:docPr id="7" name=""/>
                <a:graphic xmlns:a="http://schemas.openxmlformats.org/drawingml/2006/main">
                  <a:graphicData uri="http://schemas.microsoft.com/office/word/2010/wordprocessingShape">
                    <wps:wsp>
                      <wps:cNvSpPr/>
                      <wps:spPr>
                        <a:xfrm>
                          <a:off x="0" y="0"/>
                          <a:ext cx="0" cy="955944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1.35pt,3.35pt" to="-1.35pt,756pt" stroked="t" style="position:absolute;mso-position-horizontal-relative:page;mso-position-vertical-relative:page">
                <v:stroke color="black" joinstyle="round" endcap="flat"/>
                <v:fill o:detectmouseclick="t" on="false"/>
              </v:line>
            </w:pict>
          </mc:Fallback>
        </mc:AlternateContent>
      </w:r>
    </w:p>
    <w:p>
      <w:pPr>
        <w:pStyle w:val="ListParagraph"/>
        <w:rPr>
          <w:rFonts w:ascii="Arial Narrow" w:hAnsi="Arial Narrow"/>
          <w:i/>
          <w:i/>
        </w:rPr>
      </w:pPr>
      <w:r>
        <w:rPr>
          <w:rFonts w:ascii="Arial Narrow" w:hAnsi="Arial Narrow"/>
          <w:i/>
        </w:rPr>
      </w:r>
    </w:p>
    <w:p>
      <w:pPr>
        <w:pStyle w:val="OiaeaeiYiio2"/>
        <w:widowControl/>
        <w:numPr>
          <w:ilvl w:val="0"/>
          <w:numId w:val="5"/>
        </w:numPr>
        <w:spacing w:before="20" w:after="20"/>
        <w:jc w:val="both"/>
        <w:rPr>
          <w:rFonts w:ascii="Arial Narrow" w:hAnsi="Arial Narrow"/>
          <w:i w:val="false"/>
          <w:i w:val="false"/>
          <w:sz w:val="20"/>
        </w:rPr>
      </w:pPr>
      <w:r>
        <w:rPr>
          <w:rFonts w:ascii="Arial Narrow" w:hAnsi="Arial Narrow"/>
          <w:i w:val="false"/>
          <w:sz w:val="20"/>
        </w:rPr>
        <w:t>Blue black rule:identification of histology substrate by means of in vivo confocal    microscopy. Farnetani F, Longo C, Argenziano G, Zalaudek I, Pellacani G. Journal of Investigative Dermatology , 2012 Sept S, V 132. Pages S134</w:t>
      </w:r>
    </w:p>
    <w:p>
      <w:pPr>
        <w:pStyle w:val="ListParagraph"/>
        <w:rPr>
          <w:rFonts w:ascii="Arial Narrow" w:hAnsi="Arial Narrow"/>
          <w:i/>
          <w:i/>
          <w:lang w:val="en-US"/>
        </w:rPr>
      </w:pPr>
      <w:r>
        <w:rPr>
          <w:rFonts w:ascii="Arial Narrow" w:hAnsi="Arial Narrow"/>
          <w:i/>
          <w:lang w:val="en-US"/>
        </w:rPr>
      </w:r>
    </w:p>
    <w:p>
      <w:pPr>
        <w:pStyle w:val="OiaeaeiYiio2"/>
        <w:widowControl/>
        <w:numPr>
          <w:ilvl w:val="0"/>
          <w:numId w:val="5"/>
        </w:numPr>
        <w:spacing w:before="20" w:after="20"/>
        <w:jc w:val="both"/>
        <w:rPr>
          <w:rFonts w:ascii="Arial Narrow" w:hAnsi="Arial Narrow"/>
          <w:i w:val="false"/>
          <w:i w:val="false"/>
          <w:sz w:val="20"/>
        </w:rPr>
      </w:pPr>
      <w:r>
        <w:rPr>
          <w:rFonts w:ascii="Arial Narrow" w:hAnsi="Arial Narrow"/>
          <w:i w:val="false"/>
          <w:sz w:val="20"/>
        </w:rPr>
        <w:t>Flessibility of in vivo confocal microscopy in diagnosis nodular lesions. Longo C, Ciardo S, Farnetani F, Cesinaro A, Ponti G, Pellacani G, Journal of investigative Dermatology ,2012 Sept S, v132 pages S132</w:t>
      </w:r>
    </w:p>
    <w:p>
      <w:pPr>
        <w:pStyle w:val="ListParagraph"/>
        <w:rPr>
          <w:rFonts w:ascii="Arial Narrow" w:hAnsi="Arial Narrow"/>
          <w:i/>
          <w:i/>
          <w:lang w:val="en-US"/>
        </w:rPr>
      </w:pPr>
      <w:r>
        <w:rPr>
          <w:rFonts w:ascii="Arial Narrow" w:hAnsi="Arial Narrow"/>
          <w:i/>
          <w:lang w:val="en-US"/>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La microscopia confocale propedeutica alla chirurgia .Puviani M, Farnetani F, Giornale italiano di dermatologia 2013May S, v148pages XIX.</w:t>
      </w:r>
    </w:p>
    <w:p>
      <w:pPr>
        <w:pStyle w:val="ListParagraph"/>
        <w:rPr>
          <w:rFonts w:ascii="Arial Narrow" w:hAnsi="Arial Narrow"/>
          <w:i/>
          <w:i/>
        </w:rPr>
      </w:pPr>
      <w:r>
        <w:rPr>
          <w:rFonts w:ascii="Arial Narrow" w:hAnsi="Arial Narrow"/>
          <w:i/>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Aspergillosi cutanea in paziente con Lupus Eritematoso sistemico. Ferrari B, Casari A, Farnetani F, Rossi E, Lasagni C Giornale italiano di dermatologia 2013May S, v148pages XXVIII</w:t>
      </w:r>
    </w:p>
    <w:p>
      <w:pPr>
        <w:pStyle w:val="ListParagraph"/>
        <w:rPr>
          <w:rFonts w:ascii="Arial Narrow" w:hAnsi="Arial Narrow"/>
          <w:i/>
          <w:i/>
        </w:rPr>
      </w:pPr>
      <w:r>
        <w:rPr>
          <w:rFonts w:ascii="Arial Narrow" w:hAnsi="Arial Narrow"/>
          <w:i/>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Challenging cases:the aid of confocal microscopy”Farnetani F, Ferrari B, Longo C, Pupelli G, Pellacani G, XVIII EADV Berlino, Ottobre 2009</w:t>
      </w:r>
    </w:p>
    <w:p>
      <w:pPr>
        <w:pStyle w:val="ListParagraph"/>
        <w:rPr>
          <w:rFonts w:ascii="Arial Narrow" w:hAnsi="Arial Narrow"/>
          <w:i/>
          <w:i/>
        </w:rPr>
      </w:pPr>
      <w:r>
        <w:rPr>
          <w:rFonts w:ascii="Arial Narrow" w:hAnsi="Arial Narrow"/>
          <w:i/>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I nevi nei bambini: aspetti istologici ed evolutivi valutati con microscopia confocale. Ferrari B, Farmetani F, Pupelli G, Longo C, Bassoli S, Zalaudek I, Argenziano G, Seidenari S, Pelalcani G. AIDNID, Napoli, Marzo 2009</w:t>
      </w:r>
    </w:p>
    <w:p>
      <w:pPr>
        <w:pStyle w:val="ListParagraph"/>
        <w:rPr>
          <w:rFonts w:ascii="Arial Narrow" w:hAnsi="Arial Narrow"/>
          <w:i/>
          <w:i/>
        </w:rPr>
      </w:pPr>
      <w:r>
        <w:rPr>
          <w:rFonts w:ascii="Arial Narrow" w:hAnsi="Arial Narrow"/>
          <w:i/>
        </w:rPr>
      </w:r>
    </w:p>
    <w:p>
      <w:pPr>
        <w:pStyle w:val="OiaeaeiYiio2"/>
        <w:widowControl/>
        <w:numPr>
          <w:ilvl w:val="0"/>
          <w:numId w:val="5"/>
        </w:numPr>
        <w:spacing w:before="20" w:after="20"/>
        <w:jc w:val="both"/>
        <w:rPr>
          <w:rFonts w:ascii="Arial Narrow" w:hAnsi="Arial Narrow"/>
          <w:i w:val="false"/>
          <w:i w:val="false"/>
          <w:sz w:val="20"/>
          <w:lang w:val="it-IT"/>
        </w:rPr>
      </w:pPr>
      <w:r>
        <w:rPr>
          <w:rFonts w:ascii="Arial Narrow" w:hAnsi="Arial Narrow"/>
          <w:i w:val="false"/>
          <w:sz w:val="20"/>
          <w:lang w:val="it-IT"/>
        </w:rPr>
        <w:t>Nevi displastici e microscopia confocale” Farnetani F, Gill M, Gonzales S, Ferrari B, Pupelli G, Longo C, Bassoli S, Seidenari S, Pellacani, AIDNID, Napoli, Marzo 2009</w:t>
      </w:r>
    </w:p>
    <w:p>
      <w:pPr>
        <w:pStyle w:val="ListParagraph"/>
        <w:rPr>
          <w:rFonts w:ascii="Arial Narrow" w:hAnsi="Arial Narrow"/>
          <w:i/>
          <w:i/>
        </w:rPr>
      </w:pPr>
      <w:r>
        <w:rPr>
          <w:rFonts w:ascii="Arial Narrow" w:hAnsi="Arial Narrow"/>
          <w:i/>
        </w:rPr>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b/>
          <w:b/>
          <w:i w:val="false"/>
          <w:i w:val="false"/>
          <w:sz w:val="20"/>
          <w:lang w:val="it-IT"/>
        </w:rPr>
      </w:pPr>
      <w:r>
        <w:rPr>
          <w:rFonts w:ascii="Arial Narrow" w:hAnsi="Arial Narrow"/>
          <w:b/>
          <w:i w:val="false"/>
          <w:sz w:val="20"/>
          <w:lang w:val="it-IT"/>
        </w:rPr>
        <w:t>COMUNICAZIONI  A  CONGRESSI  IN  QUALITÀ DI RELATORE</w:t>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Challenging cases:the aid of confocal microscopy” Farnetani F, Ferrari B, Longo C, Pupelli G, Pellacani G, XVIII EADV Berlino, Ottobre 2009</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w:t>
      </w:r>
      <w:r>
        <w:rPr>
          <w:rFonts w:ascii="Arial Narrow" w:hAnsi="Arial Narrow"/>
          <w:lang w:val="it-IT"/>
        </w:rPr>
        <w:t xml:space="preserve"> </w:t>
      </w:r>
      <w:r>
        <w:rPr>
          <w:rFonts w:ascii="Arial Narrow" w:hAnsi="Arial Narrow"/>
          <w:i w:val="false"/>
          <w:sz w:val="20"/>
          <w:lang w:val="it-IT"/>
        </w:rPr>
        <w:t>F. Farnetani, A. Russo, G. Pupelli, A. Sacco, S. Bassoli, S. Seidenari. "La dermoscopia delle metastasi di melanoma." 86° Congresso Nazionale SIDeMaST Verona 18-21 maggio 2011</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-Nevi displastici e microscopia confocale” Farnetani F, Gill M, Gonzales S, Ferrari B, Pupelli G, Longo C, Bassoli S, Seidenari S, Pellacani, AIDNID, Napoli, Marzo</w:t>
      </w:r>
    </w:p>
    <w:p>
      <w:pPr>
        <w:pStyle w:val="OiaeaeiYiio2"/>
        <w:widowControl/>
        <w:spacing w:before="20" w:after="20"/>
        <w:jc w:val="both"/>
        <w:rPr>
          <w:rFonts w:ascii="Arial Narrow" w:hAnsi="Arial Narrow"/>
          <w:i w:val="false"/>
          <w:i w:val="false"/>
          <w:sz w:val="20"/>
        </w:rPr>
      </w:pPr>
      <w:r>
        <w:rPr>
          <w:rFonts w:ascii="Arial Narrow" w:hAnsi="Arial Narrow"/>
          <w:i w:val="false"/>
          <w:sz w:val="20"/>
        </w:rPr>
        <w:t>-Evaluation of vitamine E efficacy in protecting from SLS skin insult by means of confocal microscopy“</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A. Casari, F. Farnetani, B. de Pace, C. Longo, J.C. Pittet°, P. L. Bencini*, G. Pellacani EADV Praga Ottobre 2012</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-“Tra clinica e microscopia confocale”, Farnetani F, XII congresso ADMG, maggio 2012</w:t>
      </w:r>
    </w:p>
    <w:p>
      <w:pPr>
        <w:pStyle w:val="OiaeaeiYiio2"/>
        <w:widowControl/>
        <w:spacing w:before="20" w:after="20"/>
        <w:jc w:val="both"/>
        <w:rPr>
          <w:rFonts w:ascii="Arial Narrow" w:hAnsi="Arial Narrow"/>
          <w:sz w:val="20"/>
          <w:lang w:val="it-IT"/>
        </w:rPr>
      </w:pPr>
      <w:r>
        <w:rPr>
          <w:rFonts w:ascii="Arial Narrow" w:hAnsi="Arial Narrow"/>
          <w:i w:val="false"/>
          <w:sz w:val="20"/>
          <w:lang w:val="it-IT"/>
        </w:rPr>
        <w:t>-</w:t>
      </w:r>
      <w:r>
        <w:rPr>
          <w:rFonts w:ascii="Arial Narrow" w:hAnsi="Arial Narrow"/>
          <w:sz w:val="20"/>
          <w:lang w:val="it-IT"/>
        </w:rPr>
        <w:t>Microscopia confocale nelle lesioni melanocitarie, Farnetani F.Corso regionale 2012 di Dermatologia Plastica ISPLAD, Padova.</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-I vantaggi dell’applicazione combinata dermatoscopia-microscopia laser confocale nellla diagnosi differenziale di melanoma cutaneo. Dermoscopia in tour, Lecce 2-4 Maggio 2013.</w:t>
      </w:r>
    </w:p>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r>
    </w:p>
    <w:p>
      <w:pPr>
        <w:pStyle w:val="OiaeaeiYiio2"/>
        <w:widowControl/>
        <w:jc w:val="left"/>
        <w:rPr>
          <w:rFonts w:ascii="Arial Narrow" w:hAnsi="Arial Narrow"/>
          <w:b/>
          <w:b/>
          <w:i w:val="false"/>
          <w:i w:val="false"/>
          <w:sz w:val="20"/>
          <w:lang w:val="it-IT"/>
        </w:rPr>
      </w:pPr>
      <w:r>
        <w:rPr>
          <w:rFonts w:ascii="Arial Narrow" w:hAnsi="Arial Narrow"/>
          <w:b/>
          <w:i w:val="false"/>
          <w:sz w:val="20"/>
          <w:lang w:val="it-IT"/>
        </w:rPr>
      </w:r>
    </w:p>
    <w:p>
      <w:pPr>
        <w:pStyle w:val="OiaeaeiYiio2"/>
        <w:widowControl/>
        <w:jc w:val="left"/>
        <w:rPr>
          <w:rFonts w:ascii="Arial Narrow" w:hAnsi="Arial Narrow"/>
          <w:b/>
          <w:b/>
          <w:i w:val="false"/>
          <w:i w:val="false"/>
          <w:sz w:val="20"/>
          <w:lang w:val="it-IT"/>
        </w:rPr>
      </w:pPr>
      <w:r>
        <w:rPr>
          <w:rFonts w:ascii="Arial Narrow" w:hAnsi="Arial Narrow"/>
          <w:b/>
          <w:i w:val="false"/>
          <w:sz w:val="20"/>
          <w:lang w:val="it-IT"/>
        </w:rPr>
      </w:r>
    </w:p>
    <w:p>
      <w:pPr>
        <w:pStyle w:val="OiaeaeiYiio2"/>
        <w:widowControl/>
        <w:jc w:val="left"/>
        <w:rPr>
          <w:rFonts w:ascii="Arial Narrow" w:hAnsi="Arial Narrow"/>
          <w:b/>
          <w:b/>
          <w:i w:val="false"/>
          <w:i w:val="false"/>
          <w:sz w:val="20"/>
          <w:lang w:val="it-IT"/>
        </w:rPr>
      </w:pPr>
      <w:r>
        <w:rPr>
          <w:rFonts w:ascii="Arial Narrow" w:hAnsi="Arial Narrow"/>
          <w:b/>
          <w:i w:val="false"/>
          <w:sz w:val="20"/>
          <w:lang w:val="it-IT"/>
        </w:rPr>
        <w:t>Appartenenza a Società scientifiche:</w:t>
      </w:r>
    </w:p>
    <w:p>
      <w:pPr>
        <w:pStyle w:val="OiaeaeiYiio2"/>
        <w:widowControl/>
        <w:jc w:val="left"/>
        <w:rPr>
          <w:rFonts w:ascii="Arial Narrow" w:hAnsi="Arial Narrow"/>
          <w:i w:val="false"/>
          <w:i w:val="false"/>
          <w:sz w:val="20"/>
          <w:lang w:val="it-IT"/>
        </w:rPr>
      </w:pPr>
      <w:r>
        <w:rPr>
          <w:rFonts w:ascii="Arial Narrow" w:hAnsi="Arial Narrow"/>
          <w:i w:val="false"/>
          <w:sz w:val="20"/>
          <w:lang w:val="it-IT"/>
        </w:rPr>
      </w:r>
    </w:p>
    <w:p>
      <w:pPr>
        <w:pStyle w:val="OiaeaeiYiio2"/>
        <w:widowControl/>
        <w:jc w:val="left"/>
        <w:rPr>
          <w:rFonts w:ascii="Arial Narrow" w:hAnsi="Arial Narrow"/>
          <w:i w:val="false"/>
          <w:i w:val="false"/>
          <w:sz w:val="20"/>
          <w:lang w:val="it-IT"/>
        </w:rPr>
      </w:pPr>
      <w:r>
        <w:rPr>
          <w:rFonts w:ascii="Arial Narrow" w:hAnsi="Arial Narrow"/>
          <w:i w:val="false"/>
          <w:sz w:val="20"/>
          <w:lang w:val="it-IT"/>
        </w:rPr>
        <w:t xml:space="preserve">E’ membro: </w:t>
      </w:r>
    </w:p>
    <w:p>
      <w:pPr>
        <w:pStyle w:val="OiaeaeiYiio2"/>
        <w:widowControl/>
        <w:jc w:val="left"/>
        <w:rPr>
          <w:rFonts w:ascii="Arial Narrow" w:hAnsi="Arial Narrow"/>
          <w:i w:val="false"/>
          <w:i w:val="false"/>
          <w:sz w:val="20"/>
          <w:lang w:val="it-IT"/>
        </w:rPr>
      </w:pPr>
      <w:r>
        <w:rPr>
          <w:rFonts w:ascii="Arial Narrow" w:hAnsi="Arial Narrow"/>
          <w:i w:val="false"/>
          <w:sz w:val="20"/>
          <w:lang w:val="it-IT"/>
        </w:rPr>
      </w:r>
    </w:p>
    <w:p>
      <w:pPr>
        <w:pStyle w:val="OiaeaeiYiio2"/>
        <w:widowControl/>
        <w:jc w:val="left"/>
        <w:rPr>
          <w:rFonts w:ascii="Arial Narrow" w:hAnsi="Arial Narrow"/>
          <w:i w:val="false"/>
          <w:i w:val="false"/>
          <w:sz w:val="20"/>
          <w:lang w:val="it-IT"/>
        </w:rPr>
      </w:pPr>
      <w:r>
        <w:rPr>
          <w:rFonts w:ascii="Arial Narrow" w:hAnsi="Arial Narrow"/>
          <w:i w:val="false"/>
          <w:sz w:val="20"/>
          <w:lang w:val="it-IT"/>
        </w:rPr>
        <w:t>- della Società Italiana di Dermatologia medica e chirurgica e delle Malattie  Sessualmente  Trasmesse  SIDeMaST</w:t>
      </w:r>
    </w:p>
    <w:p>
      <w:pPr>
        <w:pStyle w:val="OiaeaeiYiio2"/>
        <w:widowControl/>
        <w:jc w:val="left"/>
        <w:rPr>
          <w:rFonts w:ascii="Arial Narrow" w:hAnsi="Arial Narrow"/>
          <w:i w:val="false"/>
          <w:i w:val="false"/>
          <w:sz w:val="20"/>
          <w:lang w:val="it-IT"/>
        </w:rPr>
      </w:pPr>
      <w:r>
        <w:rPr>
          <w:rFonts w:ascii="Arial Narrow" w:hAnsi="Arial Narrow"/>
          <w:i w:val="false"/>
          <w:sz w:val="20"/>
          <w:lang w:val="it-IT"/>
        </w:rPr>
        <w:t xml:space="preserve">    </w:t>
      </w:r>
    </w:p>
    <w:p>
      <w:pPr>
        <w:pStyle w:val="OiaeaeiYiio2"/>
        <w:widowControl/>
        <w:jc w:val="left"/>
        <w:rPr>
          <w:rFonts w:ascii="Arial Narrow" w:hAnsi="Arial Narrow"/>
          <w:i w:val="false"/>
          <w:i w:val="false"/>
          <w:sz w:val="20"/>
        </w:rPr>
      </w:pPr>
      <w:r>
        <w:rPr>
          <w:rFonts w:ascii="Arial Narrow" w:hAnsi="Arial Narrow"/>
          <w:i w:val="false"/>
          <w:sz w:val="20"/>
        </w:rPr>
        <w:t>- dell’ European  Accademy  of  Dermatology  and Venereology  - EADV</w:t>
      </w:r>
    </w:p>
    <w:p>
      <w:pPr>
        <w:pStyle w:val="OiaeaeiYiio2"/>
        <w:widowControl/>
        <w:jc w:val="left"/>
        <w:rPr>
          <w:rFonts w:ascii="Arial Narrow" w:hAnsi="Arial Narrow"/>
          <w:i w:val="false"/>
          <w:i w:val="false"/>
          <w:sz w:val="20"/>
        </w:rPr>
      </w:pPr>
      <w:r>
        <w:rPr>
          <w:rFonts w:ascii="Arial Narrow" w:hAnsi="Arial Narrow"/>
          <w:i w:val="false"/>
          <w:sz w:val="20"/>
        </w:rPr>
      </w:r>
    </w:p>
    <w:p>
      <w:pPr>
        <w:pStyle w:val="OiaeaeiYiio2"/>
        <w:widowControl/>
        <w:jc w:val="left"/>
        <w:rPr>
          <w:rFonts w:ascii="Arial Narrow" w:hAnsi="Arial Narrow"/>
          <w:i w:val="false"/>
          <w:i w:val="false"/>
          <w:sz w:val="20"/>
        </w:rPr>
      </w:pPr>
      <w:r>
        <w:rPr>
          <w:rFonts w:ascii="Arial Narrow" w:hAnsi="Arial Narrow"/>
          <w:i w:val="false"/>
          <w:sz w:val="20"/>
        </w:rPr>
      </w:r>
    </w:p>
    <w:p>
      <w:pPr>
        <w:pStyle w:val="OiaeaeiYiio2"/>
        <w:widowControl/>
        <w:jc w:val="left"/>
        <w:rPr>
          <w:rFonts w:ascii="Arial Narrow" w:hAnsi="Arial Narrow"/>
          <w:i w:val="false"/>
          <w:i w:val="false"/>
          <w:sz w:val="20"/>
        </w:rPr>
      </w:pPr>
      <w:r>
        <w:rPr>
          <w:rFonts w:ascii="Arial Narrow" w:hAnsi="Arial Narrow"/>
          <w:i w:val="false"/>
          <w:sz w:val="20"/>
        </w:rPr>
      </w:r>
    </w:p>
    <w:p>
      <w:pPr>
        <w:pStyle w:val="OiaeaeiYiio2"/>
        <w:jc w:val="left"/>
        <w:rPr>
          <w:rFonts w:ascii="Arial Narrow" w:hAnsi="Arial Narrow"/>
          <w:i w:val="false"/>
          <w:i w:val="false"/>
          <w:sz w:val="20"/>
        </w:rPr>
      </w:pPr>
      <w:r>
        <w:rPr>
          <w:rFonts w:ascii="Arial Narrow" w:hAnsi="Arial Narrow"/>
          <w:i w:val="false"/>
          <w:sz w:val="20"/>
        </w:rPr>
      </w:r>
    </w:p>
    <w:p>
      <w:pPr>
        <w:pStyle w:val="Normal"/>
        <w:rPr>
          <w:rFonts w:ascii="Arial Narrow" w:hAnsi="Arial Narrow"/>
          <w:lang w:val="en-US"/>
        </w:rPr>
      </w:pPr>
      <w:r>
        <mc:AlternateContent>
          <mc:Choice Requires="wps">
            <w:drawing>
              <wp:anchor behindDoc="1" distT="0" distB="0" distL="114300" distR="114300" simplePos="0" locked="0" layoutInCell="1" allowOverlap="1" relativeHeight="3">
                <wp:simplePos x="0" y="0"/>
                <wp:positionH relativeFrom="page">
                  <wp:posOffset>-1068705</wp:posOffset>
                </wp:positionH>
                <wp:positionV relativeFrom="page">
                  <wp:posOffset>4059555</wp:posOffset>
                </wp:positionV>
                <wp:extent cx="6711315" cy="1270"/>
                <wp:effectExtent l="0" t="0" r="0" b="0"/>
                <wp:wrapNone/>
                <wp:docPr id="8" name="Line 6"/>
                <a:graphic xmlns:a="http://schemas.openxmlformats.org/drawingml/2006/main">
                  <a:graphicData uri="http://schemas.microsoft.com/office/word/2010/wordprocessingShape">
                    <wps:wsp>
                      <wps:cNvSpPr/>
                      <wps:spPr>
                        <a:xfrm>
                          <a:off x="0" y="0"/>
                          <a:ext cx="0" cy="956304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180pt,55.5pt" to="180pt,808.45pt" ID="Line 6" stroked="t" style="position:absolute;mso-position-horizontal-relative:page;mso-position-vertical-relative:page">
                <v:stroke color="black" joinstyle="round" endcap="flat"/>
                <v:fill o:detectmouseclick="t" on="false"/>
              </v:line>
            </w:pict>
          </mc:Fallback>
        </mc:AlternateContent>
      </w:r>
      <w:r>
        <w:rPr>
          <w:lang w:val="en-US" w:eastAsia="it-IT"/>
        </w:rPr>
        <w:br/>
      </w:r>
    </w:p>
    <w:tbl>
      <w:tblPr>
        <w:tblW w:w="10456" w:type="dxa"/>
        <w:jc w:val="left"/>
        <w:tblInd w:w="0" w:type="dxa"/>
        <w:tblBorders/>
        <w:tblCellMar>
          <w:top w:w="0" w:type="dxa"/>
          <w:left w:w="115" w:type="dxa"/>
          <w:bottom w:w="0" w:type="dxa"/>
          <w:right w:w="108" w:type="dxa"/>
        </w:tblCellMar>
        <w:tblLook w:val="0000"/>
      </w:tblPr>
      <w:tblGrid>
        <w:gridCol w:w="3485"/>
        <w:gridCol w:w="3485"/>
        <w:gridCol w:w="3486"/>
      </w:tblGrid>
      <w:tr>
        <w:trPr/>
        <w:tc>
          <w:tcPr>
            <w:tcW w:w="3485" w:type="dxa"/>
            <w:tcBorders/>
            <w:shd w:fill="auto" w:val="clear"/>
          </w:tcPr>
          <w:p>
            <w:pPr>
              <w:pStyle w:val="Aaoeeu"/>
              <w:widowControl/>
              <w:spacing w:before="20" w:after="20"/>
              <w:ind w:right="33" w:hanging="0"/>
              <w:jc w:val="center"/>
              <w:rPr>
                <w:rFonts w:ascii="Arial Narrow" w:hAnsi="Arial Narrow"/>
                <w:b/>
                <w:b/>
                <w:sz w:val="24"/>
                <w:lang w:val="it-IT"/>
              </w:rPr>
            </w:pPr>
            <w:r>
              <w:rPr>
                <w:rFonts w:ascii="Arial Narrow" w:hAnsi="Arial Narrow"/>
                <w:b/>
                <w:smallCaps/>
                <w:sz w:val="22"/>
                <w:lang w:val="it-IT"/>
              </w:rPr>
              <w:t>Madrelingua</w:t>
            </w:r>
          </w:p>
        </w:tc>
        <w:tc>
          <w:tcPr>
            <w:tcW w:w="3485" w:type="dxa"/>
            <w:tcBorders/>
            <w:shd w:fill="auto" w:val="clear"/>
            <w:tcMar>
              <w:left w:w="108" w:type="dxa"/>
            </w:tcMar>
          </w:tcPr>
          <w:p>
            <w:pPr>
              <w:pStyle w:val="Aaoeeu"/>
              <w:widowControl/>
              <w:spacing w:before="20" w:after="20"/>
              <w:jc w:val="right"/>
              <w:rPr>
                <w:rFonts w:ascii="Arial Narrow" w:hAnsi="Arial Narrow"/>
                <w:lang w:val="it-IT"/>
              </w:rPr>
            </w:pPr>
            <w:r>
              <w:rPr>
                <w:rFonts w:ascii="Arial Narrow" w:hAnsi="Arial Narrow"/>
                <w:lang w:val="it-IT"/>
              </w:rPr>
            </w:r>
          </w:p>
        </w:tc>
        <w:tc>
          <w:tcPr>
            <w:tcW w:w="3486" w:type="dxa"/>
            <w:tcBorders/>
            <w:shd w:fill="auto" w:val="clear"/>
            <w:tcMar>
              <w:left w:w="108" w:type="dxa"/>
            </w:tcMar>
          </w:tcPr>
          <w:p>
            <w:pPr>
              <w:pStyle w:val="Eaoaeaa"/>
              <w:widowControl/>
              <w:spacing w:before="20" w:after="20"/>
              <w:rPr>
                <w:rFonts w:ascii="Arial Narrow" w:hAnsi="Arial Narrow"/>
                <w:b/>
                <w:b/>
                <w:lang w:val="it-IT"/>
              </w:rPr>
            </w:pPr>
            <w:r>
              <w:rPr>
                <w:rFonts w:ascii="Arial Narrow" w:hAnsi="Arial Narrow"/>
                <w:b/>
                <w:smallCaps/>
                <w:lang w:val="it-IT"/>
              </w:rPr>
              <w:t>italiana</w:t>
            </w:r>
          </w:p>
        </w:tc>
      </w:tr>
    </w:tbl>
    <w:p>
      <w:pPr>
        <w:pStyle w:val="Aaoeeu"/>
        <w:spacing w:before="20" w:after="20"/>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jc w:val="center"/>
              <w:rPr>
                <w:rFonts w:ascii="Arial Narrow" w:hAnsi="Arial Narrow"/>
                <w:b w:val="false"/>
                <w:b w:val="false"/>
                <w:smallCaps/>
                <w:sz w:val="24"/>
                <w:lang w:val="it-IT"/>
              </w:rPr>
            </w:pPr>
            <w:r>
              <w:rPr>
                <w:rFonts w:ascii="Arial Narrow" w:hAnsi="Arial Narrow"/>
                <w:b w:val="false"/>
                <w:smallCaps/>
                <w:sz w:val="22"/>
                <w:lang w:val="it-IT"/>
              </w:rPr>
              <w:t>Altre lingu</w:t>
            </w:r>
            <w:r>
              <w:rPr>
                <w:rFonts w:ascii="Arial Narrow" w:hAnsi="Arial Narrow"/>
                <w:b w:val="false"/>
                <w:smallCaps/>
                <w:sz w:val="18"/>
                <w:szCs w:val="18"/>
                <w:lang w:val="it-IT"/>
              </w:rPr>
              <w:t>E</w:t>
            </w:r>
          </w:p>
        </w:tc>
      </w:tr>
    </w:tbl>
    <w:p>
      <w:pPr>
        <w:pStyle w:val="Aaoeeu"/>
        <w:spacing w:before="20" w:after="20"/>
        <w:rPr>
          <w:rFonts w:ascii="Arial Narrow" w:hAnsi="Arial Narrow"/>
          <w:sz w:val="10"/>
          <w:lang w:val="it-IT"/>
        </w:rPr>
      </w:pPr>
      <w:r>
        <w:rPr>
          <w:rFonts w:ascii="Arial Narrow" w:hAnsi="Arial Narrow"/>
          <w:sz w:val="10"/>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eeaoaeaa2"/>
              <w:widowControl/>
              <w:tabs>
                <w:tab w:val="left" w:pos="-1418" w:leader="none"/>
              </w:tabs>
              <w:spacing w:before="20" w:after="20"/>
              <w:ind w:right="33" w:hanging="0"/>
              <w:rPr>
                <w:rFonts w:ascii="Arial Narrow" w:hAnsi="Arial Narrow"/>
                <w:b/>
                <w:b/>
                <w:i w:val="false"/>
                <w:i w:val="false"/>
                <w:lang w:val="it-IT"/>
              </w:rPr>
            </w:pPr>
            <w:r>
              <w:rPr>
                <w:rFonts w:ascii="Arial Narrow" w:hAnsi="Arial Narrow"/>
                <w:b/>
                <w:i w:val="false"/>
                <w:lang w:val="it-IT"/>
              </w:rPr>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b/>
                <w:b/>
                <w:lang w:val="it-IT"/>
              </w:rPr>
            </w:pPr>
            <w:r>
              <w:rPr>
                <w:rFonts w:ascii="Arial Narrow" w:hAnsi="Arial Narrow"/>
                <w:b/>
                <w:smallCaps/>
                <w:lang w:val="it-IT"/>
              </w:rPr>
              <w:t>inglese</w:t>
            </w:r>
          </w:p>
        </w:tc>
      </w:tr>
      <w:tr>
        <w:trPr/>
        <w:tc>
          <w:tcPr>
            <w:tcW w:w="2943" w:type="dxa"/>
            <w:tcBorders/>
            <w:shd w:fill="auto" w:val="clear"/>
          </w:tcPr>
          <w:p>
            <w:pPr>
              <w:pStyle w:val="Aeeaoaeaa2"/>
              <w:widowControl/>
              <w:tabs>
                <w:tab w:val="left" w:pos="-1418" w:leader="none"/>
              </w:tabs>
              <w:spacing w:before="20" w:after="20"/>
              <w:ind w:right="33" w:hanging="0"/>
              <w:jc w:val="center"/>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lettura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Ottima</w:t>
            </w:r>
          </w:p>
        </w:tc>
      </w:tr>
      <w:tr>
        <w:trPr/>
        <w:tc>
          <w:tcPr>
            <w:tcW w:w="2943" w:type="dxa"/>
            <w:tcBorders/>
            <w:shd w:fill="auto" w:val="clear"/>
          </w:tcPr>
          <w:p>
            <w:pPr>
              <w:pStyle w:val="Aeeaoaeaa2"/>
              <w:widowControl/>
              <w:spacing w:before="20" w:after="20"/>
              <w:ind w:right="33" w:hanging="0"/>
              <w:jc w:val="center"/>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scrittura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Buono</w:t>
            </w:r>
          </w:p>
        </w:tc>
      </w:tr>
      <w:tr>
        <w:trPr/>
        <w:tc>
          <w:tcPr>
            <w:tcW w:w="2943" w:type="dxa"/>
            <w:tcBorders/>
            <w:shd w:fill="auto" w:val="clear"/>
          </w:tcPr>
          <w:p>
            <w:pPr>
              <w:pStyle w:val="Aaoeeu"/>
              <w:tabs>
                <w:tab w:val="left" w:pos="-1418" w:leader="none"/>
              </w:tabs>
              <w:spacing w:before="20" w:after="20"/>
              <w:ind w:right="33" w:hanging="0"/>
              <w:rPr>
                <w:rFonts w:ascii="Arial Narrow" w:hAnsi="Arial Narrow"/>
                <w:lang w:val="it-IT"/>
              </w:rPr>
            </w:pPr>
            <w:r>
              <w:rPr>
                <w:rFonts w:ascii="Arial Narrow" w:hAnsi="Arial Narrow"/>
                <w:b/>
                <w:lang w:val="it-IT"/>
              </w:rPr>
              <w:t xml:space="preserve">• </w:t>
            </w:r>
            <w:r>
              <w:rPr>
                <w:rFonts w:ascii="Arial Narrow" w:hAnsi="Arial Narrow"/>
                <w:lang w:val="it-IT"/>
              </w:rPr>
              <w:t>Capacità di espressione orale</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Buono</w:t>
            </w:r>
          </w:p>
          <w:p>
            <w:pPr>
              <w:pStyle w:val="Eaoaeaa"/>
              <w:widowControl/>
              <w:spacing w:before="20" w:after="20"/>
              <w:rPr>
                <w:rFonts w:ascii="Arial Narrow" w:hAnsi="Arial Narrow"/>
                <w:lang w:val="it-IT"/>
              </w:rPr>
            </w:pPr>
            <w:r>
              <w:rPr>
                <w:rFonts w:ascii="Arial Narrow" w:hAnsi="Arial Narrow"/>
                <w:lang w:val="it-IT"/>
              </w:rPr>
            </w:r>
          </w:p>
          <w:p>
            <w:pPr>
              <w:pStyle w:val="Eaoaeaa"/>
              <w:widowControl/>
              <w:spacing w:before="20" w:after="20"/>
              <w:rPr>
                <w:rFonts w:ascii="Arial Narrow" w:hAnsi="Arial Narrow"/>
                <w:lang w:val="it-IT"/>
              </w:rPr>
            </w:pPr>
            <w:r>
              <w:rPr>
                <w:rFonts w:ascii="Arial Narrow" w:hAnsi="Arial Narrow"/>
                <w:lang w:val="it-IT"/>
              </w:rPr>
              <w:t>Modena 16\10\2014</w:t>
            </w:r>
          </w:p>
        </w:tc>
      </w:tr>
    </w:tbl>
    <w:p>
      <w:pPr>
        <w:pStyle w:val="Aaoeeu"/>
        <w:widowControl/>
        <w:rPr>
          <w:rFonts w:ascii="Arial Narrow" w:hAnsi="Arial Narrow"/>
          <w:lang w:val="it-IT"/>
        </w:rPr>
      </w:pPr>
      <w:r>
        <w:rPr>
          <w:rFonts w:ascii="Arial Narrow" w:hAnsi="Arial Narrow"/>
          <w:lang w:val="it-IT"/>
        </w:rPr>
      </w:r>
    </w:p>
    <w:tbl>
      <w:tblPr>
        <w:tblW w:w="3227" w:type="dxa"/>
        <w:jc w:val="left"/>
        <w:tblInd w:w="0" w:type="dxa"/>
        <w:tblBorders/>
        <w:tblCellMar>
          <w:top w:w="0" w:type="dxa"/>
          <w:left w:w="115" w:type="dxa"/>
          <w:bottom w:w="0" w:type="dxa"/>
          <w:right w:w="108" w:type="dxa"/>
        </w:tblCellMar>
        <w:tblLook w:val="0000"/>
      </w:tblPr>
      <w:tblGrid>
        <w:gridCol w:w="2943"/>
        <w:gridCol w:w="283"/>
      </w:tblGrid>
      <w:tr>
        <w:trPr/>
        <w:tc>
          <w:tcPr>
            <w:tcW w:w="2943" w:type="dxa"/>
            <w:tcBorders/>
            <w:shd w:fill="auto" w:val="clear"/>
          </w:tcPr>
          <w:p>
            <w:pPr>
              <w:pStyle w:val="Aeeaoaeaa1"/>
              <w:widowControl/>
              <w:spacing w:before="20" w:after="20"/>
              <w:rPr>
                <w:lang w:val="it-IT"/>
              </w:rPr>
            </w:pPr>
            <w:r>
              <w:rPr>
                <w:lang w:val="it-IT"/>
              </w:rPr>
            </w:r>
          </w:p>
        </w:tc>
        <w:tc>
          <w:tcPr>
            <w:tcW w:w="283" w:type="dxa"/>
            <w:tcBorders/>
            <w:shd w:fill="auto" w:val="clear"/>
          </w:tcPr>
          <w:p>
            <w:pPr>
              <w:pStyle w:val="Aaoeeu"/>
              <w:widowControl/>
              <w:spacing w:before="20" w:after="20"/>
              <w:jc w:val="right"/>
              <w:rPr>
                <w:rFonts w:ascii="Arial Narrow" w:hAnsi="Arial Narrow"/>
                <w:lang w:val="it-IT"/>
              </w:rPr>
            </w:pPr>
            <w:bookmarkStart w:id="0" w:name="_GoBack"/>
            <w:bookmarkStart w:id="1" w:name="_GoBack"/>
            <w:bookmarkEnd w:id="1"/>
            <w:r>
              <w:rPr>
                <w:rFonts w:ascii="Arial Narrow" w:hAnsi="Arial Narrow"/>
                <w:lang w:val="it-IT"/>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sz w:val="22"/>
          <w:szCs w:val="22"/>
        </w:rPr>
        <w:t>Autorizzo il trattamento dei miei dati personali ai sensi del Decreto Legislativo 30 giugno 2003, n. 196 "Codice in materia di protezione dei dati personali"</w:t>
      </w:r>
      <w:r>
        <w:rPr/>
        <w:t xml:space="preserve">                                                                                        </w:t>
      </w:r>
    </w:p>
    <w:sectPr>
      <w:type w:val="nextPage"/>
      <w:pgSz w:w="11906" w:h="16838"/>
      <w:pgMar w:left="1134" w:right="1134" w:header="0" w:top="1417"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Arial Narrow">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ascii="Arial Narrow" w:hAnsi="Arial Narrow"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decimal"/>
      <w:lvlText w:val="%1)"/>
      <w:lvlJc w:val="left"/>
      <w:pPr>
        <w:ind w:left="720" w:hanging="360"/>
      </w:pPr>
      <w:rPr>
        <w:rFonts w:ascii="Arial Narrow" w:hAnsi="Arial Narrow"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decimal"/>
      <w:lvlText w:val="%1)"/>
      <w:lvlJc w:val="left"/>
      <w:pPr>
        <w:ind w:left="720" w:hanging="360"/>
      </w:pPr>
      <w:rPr>
        <w:rFonts w:ascii="Arial Narrow" w:hAnsi="Arial Narrow"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lvl w:ilvl="0">
      <w:start w:val="1"/>
      <w:numFmt w:val="decimal"/>
      <w:lvlText w:val="%1)"/>
      <w:lvlJc w:val="left"/>
      <w:pPr>
        <w:ind w:left="720" w:hanging="360"/>
      </w:pPr>
      <w:rPr>
        <w:sz w:val="20"/>
        <w:rFonts w:ascii="Arial Narrow" w:hAnsi="Arial Narrow"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it-IT" w:eastAsia="it-IT"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90fac"/>
    <w:pPr>
      <w:widowControl w:val="false"/>
      <w:bidi w:val="0"/>
      <w:jc w:val="left"/>
    </w:pPr>
    <w:rPr>
      <w:rFonts w:ascii="Times New Roman" w:hAnsi="Times New Roman" w:eastAsia="Times New Roman" w:cs="Times New Roman"/>
      <w:color w:val="auto"/>
      <w:sz w:val="20"/>
      <w:szCs w:val="20"/>
      <w:lang w:eastAsia="ko-KR" w:val="it-IT" w:bidi="ar-SA"/>
    </w:rPr>
  </w:style>
  <w:style w:type="character" w:styleId="DefaultParagraphFont" w:default="1">
    <w:name w:val="Default Paragraph Font"/>
    <w:uiPriority w:val="99"/>
    <w:semiHidden/>
    <w:qFormat/>
    <w:rPr/>
  </w:style>
  <w:style w:type="character" w:styleId="BalloonTextChar" w:customStyle="1">
    <w:name w:val="Balloon Text Char"/>
    <w:basedOn w:val="DefaultParagraphFont"/>
    <w:link w:val="BalloonText"/>
    <w:uiPriority w:val="99"/>
    <w:semiHidden/>
    <w:qFormat/>
    <w:locked/>
    <w:rsid w:val="00590fac"/>
    <w:rPr>
      <w:rFonts w:ascii="Tahoma" w:hAnsi="Tahoma" w:cs="Tahoma"/>
      <w:sz w:val="16"/>
      <w:szCs w:val="16"/>
      <w:lang w:eastAsia="ko-KR"/>
    </w:rPr>
  </w:style>
  <w:style w:type="character" w:styleId="HeaderChar" w:customStyle="1">
    <w:name w:val="Header Char"/>
    <w:basedOn w:val="DefaultParagraphFont"/>
    <w:link w:val="Header"/>
    <w:uiPriority w:val="99"/>
    <w:semiHidden/>
    <w:qFormat/>
    <w:locked/>
    <w:rsid w:val="00590fac"/>
    <w:rPr>
      <w:rFonts w:ascii="Times New Roman" w:hAnsi="Times New Roman" w:cs="Times New Roman"/>
      <w:sz w:val="20"/>
      <w:szCs w:val="20"/>
      <w:lang w:eastAsia="ko-KR"/>
    </w:rPr>
  </w:style>
  <w:style w:type="character" w:styleId="FooterChar" w:customStyle="1">
    <w:name w:val="Footer Char"/>
    <w:basedOn w:val="DefaultParagraphFont"/>
    <w:link w:val="Footer"/>
    <w:uiPriority w:val="99"/>
    <w:semiHidden/>
    <w:qFormat/>
    <w:locked/>
    <w:rsid w:val="00590fac"/>
    <w:rPr>
      <w:rFonts w:ascii="Times New Roman" w:hAnsi="Times New Roman" w:cs="Times New Roman"/>
      <w:sz w:val="20"/>
      <w:szCs w:val="20"/>
      <w:lang w:eastAsia="ko-KR"/>
    </w:rPr>
  </w:style>
  <w:style w:type="character" w:styleId="BookTitle">
    <w:name w:val="Book Title"/>
    <w:basedOn w:val="DefaultParagraphFont"/>
    <w:uiPriority w:val="99"/>
    <w:qFormat/>
    <w:rsid w:val="00ce3011"/>
    <w:rPr>
      <w:rFonts w:cs="Times New Roman"/>
      <w:b/>
      <w:bCs/>
      <w:smallCaps/>
      <w:spacing w:val="5"/>
    </w:rPr>
  </w:style>
  <w:style w:type="character" w:styleId="ListLabel1">
    <w:name w:val="ListLabel 1"/>
    <w:qFormat/>
    <w:rPr>
      <w:rFonts w:ascii="Arial Narrow" w:hAnsi="Arial Narrow"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sz w:val="24"/>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ascii="Arial Narrow" w:hAnsi="Arial Narrow"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ascii="Arial Narrow" w:hAnsi="Arial Narrow"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ascii="Arial Narrow" w:hAnsi="Arial Narrow" w:cs="Times New Roman"/>
      <w:sz w:val="20"/>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aoeeu" w:customStyle="1">
    <w:name w:val="Aaoeeu"/>
    <w:uiPriority w:val="99"/>
    <w:qFormat/>
    <w:rsid w:val="00590fac"/>
    <w:pPr>
      <w:widowControl w:val="false"/>
      <w:bidi w:val="0"/>
      <w:jc w:val="left"/>
    </w:pPr>
    <w:rPr>
      <w:rFonts w:ascii="Times New Roman" w:hAnsi="Times New Roman" w:eastAsia="Times New Roman" w:cs="Times New Roman"/>
      <w:color w:val="auto"/>
      <w:sz w:val="20"/>
      <w:szCs w:val="20"/>
      <w:lang w:val="en-US" w:eastAsia="ko-KR" w:bidi="ar-SA"/>
    </w:rPr>
  </w:style>
  <w:style w:type="paragraph" w:styleId="Aeeaoaeaa1" w:customStyle="1">
    <w:name w:val="A?eeaoae?aa 1"/>
    <w:basedOn w:val="Aaoeeu"/>
    <w:next w:val="Aaoeeu"/>
    <w:uiPriority w:val="99"/>
    <w:qFormat/>
    <w:rsid w:val="00590fac"/>
    <w:pPr>
      <w:keepNext/>
      <w:jc w:val="right"/>
    </w:pPr>
    <w:rPr>
      <w:b/>
    </w:rPr>
  </w:style>
  <w:style w:type="paragraph" w:styleId="Eaoaeaa" w:customStyle="1">
    <w:name w:val="Eaoae?aa"/>
    <w:basedOn w:val="Aaoeeu"/>
    <w:uiPriority w:val="99"/>
    <w:qFormat/>
    <w:rsid w:val="00590fac"/>
    <w:pPr>
      <w:tabs>
        <w:tab w:val="center" w:pos="4153" w:leader="none"/>
        <w:tab w:val="right" w:pos="8306" w:leader="none"/>
      </w:tabs>
    </w:pPr>
    <w:rPr/>
  </w:style>
  <w:style w:type="paragraph" w:styleId="BalloonText">
    <w:name w:val="Balloon Text"/>
    <w:basedOn w:val="Normal"/>
    <w:link w:val="BalloonTextChar"/>
    <w:uiPriority w:val="99"/>
    <w:semiHidden/>
    <w:qFormat/>
    <w:rsid w:val="00590fac"/>
    <w:pPr/>
    <w:rPr>
      <w:rFonts w:ascii="Tahoma" w:hAnsi="Tahoma" w:cs="Tahoma"/>
      <w:sz w:val="16"/>
      <w:szCs w:val="16"/>
    </w:rPr>
  </w:style>
  <w:style w:type="paragraph" w:styleId="Intestazione">
    <w:name w:val="Intestazione"/>
    <w:basedOn w:val="Normal"/>
    <w:link w:val="HeaderChar"/>
    <w:uiPriority w:val="99"/>
    <w:semiHidden/>
    <w:rsid w:val="00590fac"/>
    <w:pPr>
      <w:tabs>
        <w:tab w:val="center" w:pos="4819" w:leader="none"/>
        <w:tab w:val="right" w:pos="9638" w:leader="none"/>
      </w:tabs>
    </w:pPr>
    <w:rPr/>
  </w:style>
  <w:style w:type="paragraph" w:styleId="Pidipagina">
    <w:name w:val="Piè di pagina"/>
    <w:basedOn w:val="Normal"/>
    <w:link w:val="FooterChar"/>
    <w:uiPriority w:val="99"/>
    <w:semiHidden/>
    <w:rsid w:val="00590fac"/>
    <w:pPr>
      <w:tabs>
        <w:tab w:val="center" w:pos="4819" w:leader="none"/>
        <w:tab w:val="right" w:pos="9638" w:leader="none"/>
      </w:tabs>
    </w:pPr>
    <w:rPr/>
  </w:style>
  <w:style w:type="paragraph" w:styleId="OiaeaeiYiio2" w:customStyle="1">
    <w:name w:val="O?ia eaeiYiio 2"/>
    <w:basedOn w:val="Aaoeeu"/>
    <w:uiPriority w:val="99"/>
    <w:qFormat/>
    <w:rsid w:val="00590fac"/>
    <w:pPr>
      <w:jc w:val="right"/>
    </w:pPr>
    <w:rPr>
      <w:i/>
      <w:sz w:val="16"/>
    </w:rPr>
  </w:style>
  <w:style w:type="paragraph" w:styleId="ListParagraph">
    <w:name w:val="List Paragraph"/>
    <w:basedOn w:val="Normal"/>
    <w:uiPriority w:val="99"/>
    <w:qFormat/>
    <w:rsid w:val="007e510d"/>
    <w:pPr>
      <w:spacing w:before="0" w:after="0"/>
      <w:ind w:left="720" w:hanging="0"/>
      <w:contextualSpacing/>
    </w:pPr>
    <w:rPr/>
  </w:style>
  <w:style w:type="paragraph" w:styleId="Aeeaoaeaa2" w:customStyle="1">
    <w:name w:val="A?eeaoae?aa 2"/>
    <w:basedOn w:val="Aaoeeu"/>
    <w:next w:val="Aaoeeu"/>
    <w:uiPriority w:val="99"/>
    <w:qFormat/>
    <w:rsid w:val="00aa38c8"/>
    <w:pPr>
      <w:keepNext/>
      <w:jc w:val="right"/>
    </w:pPr>
    <w:rPr>
      <w:i/>
    </w:rPr>
  </w:style>
  <w:style w:type="paragraph" w:styleId="Contenutocornice">
    <w:name w:val="Contenuto cornice"/>
    <w:basedOn w:val="Normal"/>
    <w:qFormat/>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ncbi.nlm.nih.gov/pubmed/23441646"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Application>LibreOffice/5.1.1.3$Windows_x86 LibreOffice_project/89f508ef3ecebd2cfb8e1def0f0ba9a803b88a6d</Application>
  <Pages>5</Pages>
  <Words>2112</Words>
  <Characters>12414</Characters>
  <CharactersWithSpaces>14560</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2014-10-16T11:40:00Z</dcterms:created>
  <dc:creator>Leonardo</dc:creator>
  <dc:description/>
  <dc:language>it-IT</dc:language>
  <cp:lastModifiedBy/>
  <cp:lastPrinted>2012-11-07T11:34:00Z</cp:lastPrinted>
  <dcterms:modified xsi:type="dcterms:W3CDTF">2017-01-13T11:53:13Z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